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Highlights</w:t>
      </w:r>
    </w:p>
    <w:p>
      <w:pPr>
        <w:pStyle w:val="ListBullet"/>
      </w:pPr>
      <w:r>
        <w:t>Uses ten waves of Korean May youth supplementary labor-force microdata, 2016-2025.</w:t>
      </w:r>
    </w:p>
    <w:p>
      <w:pPr>
        <w:pStyle w:val="ListBullet"/>
      </w:pPr>
      <w:r>
        <w:t>Shows that resting youth rose from 260.6 to 395.7 thousand while the youth population declined.</w:t>
      </w:r>
    </w:p>
    <w:p>
      <w:pPr>
        <w:pStyle w:val="ListBullet"/>
      </w:pPr>
      <w:r>
        <w:t>Identifies entry bottlenecks at ages 22 and 25, school exit, first-job non-entry, and short-tenure exits.</w:t>
      </w:r>
    </w:p>
    <w:p>
      <w:pPr>
        <w:pStyle w:val="ListBullet"/>
      </w:pPr>
      <w:r>
        <w:t>Links resting youth profiles to a foresight framework for generative AI and entry-level task restructuring.</w:t>
      </w:r>
    </w:p>
    <w:p>
      <w:pPr>
        <w:pStyle w:val="ListBullet"/>
      </w:pPr>
      <w:r>
        <w:t>Proposes occupationally differentiated policy to preserve youth entry routes in AI-augmented labor markets.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