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2440" w:after="0"/>
      </w:pPr>
    </w:p>
    <w:p>
      <w:pPr>
        <w:pStyle w:val="aff1"/>
        <w:jc w:val="center"/>
      </w:pPr>
      <w:r>
        <w:rPr>
          <w:rFonts w:ascii="KoPubWorld바탕체_Pro Bold" w:hAnsi="KoPubWorld바탕체_Pro Bold" w:eastAsia="KoPubWorld바탕체_Pro Bold" w:cs="KoPubWorld바탕체_Pro Bold"/>
          <w:b/>
          <w:sz w:val="40"/>
        </w:rPr>
        <w:t>금융규제의 작은 역사</w:t>
      </w:r>
    </w:p>
    <w:p>
      <w:pPr>
        <w:spacing w:before="200" w:after="0"/>
      </w:pPr>
    </w:p>
    <w:p>
      <w:pPr>
        <w:pStyle w:val="aff2"/>
        <w:jc w:val="center"/>
      </w:pPr>
      <w:r>
        <w:rPr>
          <w:rFonts w:ascii="KoPubWorld바탕체_Pro Light" w:hAnsi="KoPubWorld바탕체_Pro Light" w:eastAsia="KoPubWorld바탕체_Pro Light" w:cs="KoPubWorld바탕체_Pro Light"/>
          <w:b/>
          <w:sz w:val="22"/>
        </w:rPr>
        <w:t>돈의 약속이 무너질 때,</w:t>
      </w:r>
    </w:p>
    <w:p>
      <w:pPr>
        <w:pStyle w:val="aff2"/>
        <w:jc w:val="center"/>
      </w:pPr>
      <w:r>
        <w:rPr>
          <w:rFonts w:ascii="KoPubWorld바탕체_Pro Light" w:hAnsi="KoPubWorld바탕체_Pro Light" w:eastAsia="KoPubWorld바탕체_Pro Light" w:cs="KoPubWorld바탕체_Pro Light"/>
          <w:b/>
          <w:sz w:val="22"/>
        </w:rPr>
        <w:t>국가는 무엇을 지켰는가</w:t>
      </w:r>
    </w:p>
    <w:p>
      <w:pPr>
        <w:spacing w:before="3120" w:after="0"/>
      </w:pPr>
    </w:p>
    <w:p>
      <w:pPr>
        <w:pStyle w:val="aff4"/>
        <w:jc w:val="center"/>
      </w:pPr>
      <w:r>
        <w:rPr>
          <w:rFonts w:ascii="Noto Sans CJK KR" w:hAnsi="Noto Sans CJK KR" w:eastAsia="Noto Sans CJK KR" w:cs="Noto Sans CJK KR"/>
          <w:sz w:val="20"/>
        </w:rPr>
        <w:t>김민성 지음</w:t>
      </w:r>
    </w:p>
    <w:p>
      <w:r>
        <w:br w:type="page"/>
      </w:r>
    </w:p>
    <w:p>
      <w:pPr>
        <w:spacing w:before="1160" w:after="0"/>
      </w:pPr>
    </w:p>
    <w:p>
      <w:pPr>
        <w:pStyle w:val="aff2"/>
        <w:jc w:val="center"/>
      </w:pPr>
      <w:r>
        <w:rPr>
          <w:rFonts w:ascii="KoPubWorld바탕체_Pro Bold" w:hAnsi="KoPubWorld바탕체_Pro Bold" w:eastAsia="KoPubWorld바탕체_Pro Bold" w:cs="KoPubWorld바탕체_Pro Bold"/>
          <w:b/>
          <w:sz w:val="24"/>
        </w:rPr>
        <w:t>금융규제의 작은 역사</w:t>
      </w:r>
    </w:p>
    <w:p>
      <w:pPr>
        <w:spacing w:before="400" w:after="0"/>
      </w:pPr>
    </w:p>
    <w:p>
      <w:pPr>
        <w:pStyle w:val="aff7"/>
        <w:tabs>
          <w:tab w:pos="2500" w:val="left"/>
        </w:tabs>
        <w:ind w:left="1220"/>
      </w:pPr>
      <w:r>
        <w:rPr>
          <w:rFonts w:ascii="Noto Sans CJK KR" w:hAnsi="Noto Sans CJK KR" w:eastAsia="Noto Sans CJK KR" w:cs="Noto Sans CJK KR"/>
          <w:b/>
          <w:sz w:val="17"/>
        </w:rPr>
        <w:t>발행일</w:t>
      </w:r>
      <w:r>
        <w:tab/>
      </w:r>
      <w:r>
        <w:rPr>
          <w:rFonts w:ascii="Noto Sans CJK KR" w:hAnsi="Noto Sans CJK KR" w:eastAsia="Noto Sans CJK KR" w:cs="Noto Sans CJK KR"/>
          <w:sz w:val="17"/>
        </w:rPr>
        <w:t>2026년 7월 14일</w:t>
      </w:r>
    </w:p>
    <w:p>
      <w:pPr>
        <w:pStyle w:val="aff7"/>
        <w:tabs>
          <w:tab w:pos="2500" w:val="left"/>
        </w:tabs>
        <w:ind w:left="1220"/>
      </w:pPr>
      <w:r>
        <w:rPr>
          <w:rFonts w:ascii="Noto Sans CJK KR" w:hAnsi="Noto Sans CJK KR" w:eastAsia="Noto Sans CJK KR" w:cs="Noto Sans CJK KR"/>
          <w:b/>
          <w:sz w:val="17"/>
        </w:rPr>
        <w:t>지은이</w:t>
      </w:r>
      <w:r>
        <w:tab/>
      </w:r>
      <w:r>
        <w:rPr>
          <w:rFonts w:ascii="Noto Sans CJK KR" w:hAnsi="Noto Sans CJK KR" w:eastAsia="Noto Sans CJK KR" w:cs="Noto Sans CJK KR"/>
          <w:sz w:val="17"/>
        </w:rPr>
        <w:t>김민성</w:t>
      </w:r>
    </w:p>
    <w:p>
      <w:pPr>
        <w:pStyle w:val="aff7"/>
        <w:tabs>
          <w:tab w:pos="2500" w:val="left"/>
        </w:tabs>
        <w:ind w:left="1220"/>
      </w:pPr>
      <w:r>
        <w:rPr>
          <w:rFonts w:ascii="Noto Sans CJK KR" w:hAnsi="Noto Sans CJK KR" w:eastAsia="Noto Sans CJK KR" w:cs="Noto Sans CJK KR"/>
          <w:b/>
          <w:sz w:val="17"/>
        </w:rPr>
        <w:t>발행처</w:t>
      </w:r>
      <w:r>
        <w:tab/>
      </w:r>
      <w:r>
        <w:rPr>
          <w:rFonts w:ascii="Noto Sans CJK KR" w:hAnsi="Noto Sans CJK KR" w:eastAsia="Noto Sans CJK KR" w:cs="Noto Sans CJK KR"/>
          <w:sz w:val="17"/>
        </w:rPr>
        <w:t>퍼플</w:t>
      </w:r>
    </w:p>
    <w:p>
      <w:pPr>
        <w:pStyle w:val="aff7"/>
        <w:tabs>
          <w:tab w:pos="2500" w:val="left"/>
        </w:tabs>
        <w:ind w:left="1220"/>
      </w:pPr>
      <w:r>
        <w:rPr>
          <w:rFonts w:ascii="Noto Sans CJK KR" w:hAnsi="Noto Sans CJK KR" w:eastAsia="Noto Sans CJK KR" w:cs="Noto Sans CJK KR"/>
          <w:b/>
          <w:sz w:val="17"/>
        </w:rPr>
        <w:t>출판등록</w:t>
      </w:r>
      <w:r>
        <w:tab/>
      </w:r>
      <w:r>
        <w:rPr>
          <w:rFonts w:ascii="Noto Sans CJK KR" w:hAnsi="Noto Sans CJK KR" w:eastAsia="Noto Sans CJK KR" w:cs="Noto Sans CJK KR"/>
          <w:sz w:val="17"/>
        </w:rPr>
        <w:t>제300-2012-167호 (2012년 09월 07일)</w:t>
      </w:r>
    </w:p>
    <w:p>
      <w:pPr>
        <w:pStyle w:val="aff7"/>
        <w:tabs>
          <w:tab w:pos="2500" w:val="left"/>
        </w:tabs>
        <w:ind w:left="1220"/>
      </w:pPr>
      <w:r>
        <w:rPr>
          <w:rFonts w:ascii="Noto Sans CJK KR" w:hAnsi="Noto Sans CJK KR" w:eastAsia="Noto Sans CJK KR" w:cs="Noto Sans CJK KR"/>
          <w:b/>
          <w:sz w:val="17"/>
        </w:rPr>
        <w:t>주소</w:t>
      </w:r>
      <w:r>
        <w:tab/>
      </w:r>
      <w:r>
        <w:rPr>
          <w:rFonts w:ascii="Noto Sans CJK KR" w:hAnsi="Noto Sans CJK KR" w:eastAsia="Noto Sans CJK KR" w:cs="Noto Sans CJK KR"/>
          <w:sz w:val="17"/>
        </w:rPr>
        <w:t>서울시 종로구 종로1가 1번지</w:t>
      </w:r>
    </w:p>
    <w:p>
      <w:pPr>
        <w:pStyle w:val="aff7"/>
        <w:tabs>
          <w:tab w:pos="2500" w:val="left"/>
        </w:tabs>
        <w:ind w:left="1220"/>
      </w:pPr>
      <w:r>
        <w:rPr>
          <w:rFonts w:ascii="Noto Sans CJK KR" w:hAnsi="Noto Sans CJK KR" w:eastAsia="Noto Sans CJK KR" w:cs="Noto Sans CJK KR"/>
          <w:b/>
          <w:sz w:val="17"/>
        </w:rPr>
        <w:t>대표전화</w:t>
      </w:r>
      <w:r>
        <w:tab/>
      </w:r>
      <w:r>
        <w:rPr>
          <w:rFonts w:ascii="Noto Sans CJK KR" w:hAnsi="Noto Sans CJK KR" w:eastAsia="Noto Sans CJK KR" w:cs="Noto Sans CJK KR"/>
          <w:sz w:val="17"/>
        </w:rPr>
        <w:t>1544-1900</w:t>
      </w:r>
    </w:p>
    <w:p>
      <w:pPr>
        <w:pStyle w:val="aff7"/>
        <w:tabs>
          <w:tab w:pos="2500" w:val="left"/>
        </w:tabs>
        <w:ind w:left="1220"/>
      </w:pPr>
      <w:r>
        <w:rPr>
          <w:rFonts w:ascii="Noto Sans CJK KR" w:hAnsi="Noto Sans CJK KR" w:eastAsia="Noto Sans CJK KR" w:cs="Noto Sans CJK KR"/>
          <w:b/>
          <w:sz w:val="17"/>
        </w:rPr>
        <w:t>홈페이지</w:t>
      </w:r>
      <w:r>
        <w:tab/>
      </w:r>
      <w:r>
        <w:rPr>
          <w:rFonts w:ascii="Noto Sans CJK KR" w:hAnsi="Noto Sans CJK KR" w:eastAsia="Noto Sans CJK KR" w:cs="Noto Sans CJK KR"/>
          <w:sz w:val="17"/>
        </w:rPr>
        <w:t>www.kyobobook.co.kr</w:t>
      </w:r>
    </w:p>
    <w:p>
      <w:pPr>
        <w:spacing w:before="440" w:after="0"/>
      </w:pPr>
    </w:p>
    <w:p>
      <w:pPr>
        <w:pStyle w:val="aff7"/>
        <w:jc w:val="center"/>
      </w:pPr>
      <w:r>
        <w:rPr>
          <w:rFonts w:ascii="Noto Sans CJK KR" w:hAnsi="Noto Sans CJK KR" w:eastAsia="Noto Sans CJK KR" w:cs="Noto Sans CJK KR"/>
          <w:sz w:val="17"/>
        </w:rPr>
        <w:t>Copyright ⓒ 김민성 2026</w:t>
      </w:r>
    </w:p>
    <w:p>
      <w:pPr>
        <w:spacing w:before="140" w:after="0"/>
      </w:pPr>
    </w:p>
    <w:p>
      <w:pPr>
        <w:pStyle w:val="aff7"/>
        <w:jc w:val="center"/>
      </w:pPr>
      <w:r>
        <w:rPr>
          <w:rFonts w:ascii="Noto Sans CJK KR" w:hAnsi="Noto Sans CJK KR" w:eastAsia="Noto Sans CJK KR" w:cs="Noto Sans CJK KR"/>
          <w:sz w:val="17"/>
        </w:rPr>
        <w:t>본 책 내용의 전부 또는 일부를 재사용하려면</w:t>
      </w:r>
    </w:p>
    <w:p>
      <w:pPr>
        <w:pStyle w:val="aff7"/>
        <w:jc w:val="center"/>
      </w:pPr>
      <w:r>
        <w:rPr>
          <w:rFonts w:ascii="Noto Sans CJK KR" w:hAnsi="Noto Sans CJK KR" w:eastAsia="Noto Sans CJK KR" w:cs="Noto Sans CJK KR"/>
          <w:sz w:val="17"/>
        </w:rPr>
        <w:t>반드시 저작권자의 동의를 받아야 합니다.</w:t>
      </w:r>
    </w:p>
    <w:p>
      <w:pPr>
        <w:spacing w:before="320" w:after="0"/>
      </w:pPr>
    </w:p>
    <w:p>
      <w:pPr>
        <w:pStyle w:val="aff7"/>
        <w:jc w:val="center"/>
      </w:pPr>
      <w:r>
        <w:rPr>
          <w:rFonts w:ascii="Noto Sans CJK KR" w:hAnsi="Noto Sans CJK KR" w:eastAsia="Noto Sans CJK KR" w:cs="Noto Sans CJK KR"/>
          <w:sz w:val="17"/>
        </w:rPr>
        <w:t>이 책은 조사·원고 구성·삽화·파일 제작 과정에서 OpenAI Codex의 도움을 받았습니다.</w:t>
      </w:r>
    </w:p>
    <w:p>
      <w:r>
        <w:br w:type="page"/>
      </w:r>
    </w:p>
    <w:p>
      <w:pPr>
        <w:spacing w:before="320" w:after="0"/>
      </w:pPr>
    </w:p>
    <w:p>
      <w:pPr>
        <w:pStyle w:val="aff1"/>
        <w:jc w:val="center"/>
      </w:pPr>
      <w:r>
        <w:rPr>
          <w:rFonts w:ascii="KoPubWorld바탕체_Pro Bold" w:hAnsi="KoPubWorld바탕체_Pro Bold" w:eastAsia="KoPubWorld바탕체_Pro Bold" w:cs="KoPubWorld바탕체_Pro Bold"/>
          <w:b/>
          <w:sz w:val="28"/>
        </w:rPr>
        <w:t>차례</w:t>
      </w:r>
    </w:p>
    <w:p>
      <w:pPr>
        <w:spacing w:before="120" w:after="0"/>
      </w:pPr>
    </w:p>
    <w:p>
      <w:pPr>
        <w:pStyle w:val="aff8"/>
        <w:tabs>
          <w:tab w:pos="6200" w:val="right" w:leader="dot"/>
        </w:tabs>
        <w:ind w:left="0"/>
      </w:pPr>
      <w:r>
        <w:rPr>
          <w:rFonts w:ascii="Noto Sans CJK KR" w:hAnsi="Noto Sans CJK KR" w:eastAsia="Noto Sans CJK KR" w:cs="Noto Sans CJK KR"/>
          <w:b w:val="0"/>
          <w:sz w:val="18"/>
        </w:rPr>
        <w:t>추천의 글</w:t>
      </w:r>
      <w:r>
        <w:tab/>
      </w:r>
      <w:r>
        <w:rPr>
          <w:rFonts w:ascii="Noto Sans CJK KR" w:hAnsi="Noto Sans CJK KR" w:eastAsia="Noto Sans CJK KR" w:cs="Noto Sans CJK KR"/>
          <w:b w:val="0"/>
          <w:sz w:val="18"/>
        </w:rPr>
        <w:t>6</w:t>
      </w:r>
    </w:p>
    <w:p>
      <w:pPr>
        <w:pStyle w:val="aff8"/>
        <w:tabs>
          <w:tab w:pos="6200" w:val="right" w:leader="dot"/>
        </w:tabs>
        <w:ind w:left="0"/>
      </w:pPr>
      <w:r>
        <w:rPr>
          <w:rFonts w:ascii="Noto Sans CJK KR" w:hAnsi="Noto Sans CJK KR" w:eastAsia="Noto Sans CJK KR" w:cs="Noto Sans CJK KR"/>
          <w:b w:val="0"/>
          <w:sz w:val="18"/>
        </w:rPr>
        <w:t>서문: 돈의 약속이 무너질 때</w:t>
      </w:r>
      <w:r>
        <w:tab/>
      </w:r>
      <w:r>
        <w:rPr>
          <w:rFonts w:ascii="Noto Sans CJK KR" w:hAnsi="Noto Sans CJK KR" w:eastAsia="Noto Sans CJK KR" w:cs="Noto Sans CJK KR"/>
          <w:b w:val="0"/>
          <w:sz w:val="18"/>
        </w:rPr>
        <w:t>8</w:t>
      </w:r>
    </w:p>
    <w:p>
      <w:pPr>
        <w:pStyle w:val="aff8"/>
        <w:tabs>
          <w:tab w:pos="6200" w:val="right" w:leader="dot"/>
        </w:tabs>
        <w:ind w:left="0"/>
      </w:pPr>
      <w:r>
        <w:rPr>
          <w:rFonts w:ascii="Noto Sans CJK KR" w:hAnsi="Noto Sans CJK KR" w:eastAsia="Noto Sans CJK KR" w:cs="Noto Sans CJK KR"/>
          <w:b w:val="0"/>
          <w:sz w:val="18"/>
        </w:rPr>
        <w:t>이 책을 읽는 법</w:t>
      </w:r>
      <w:r>
        <w:tab/>
      </w:r>
      <w:r>
        <w:rPr>
          <w:rFonts w:ascii="Noto Sans CJK KR" w:hAnsi="Noto Sans CJK KR" w:eastAsia="Noto Sans CJK KR" w:cs="Noto Sans CJK KR"/>
          <w:b w:val="0"/>
          <w:sz w:val="18"/>
        </w:rPr>
        <w:t>10</w:t>
      </w:r>
    </w:p>
    <w:p>
      <w:pPr>
        <w:spacing w:before="60" w:after="0"/>
      </w:pPr>
    </w:p>
    <w:p>
      <w:pPr>
        <w:pStyle w:val="aff8"/>
        <w:tabs>
          <w:tab w:pos="6200" w:val="right" w:leader="dot"/>
        </w:tabs>
        <w:ind w:left="0"/>
      </w:pPr>
      <w:r>
        <w:rPr>
          <w:rFonts w:ascii="Noto Sans CJK KR" w:hAnsi="Noto Sans CJK KR" w:eastAsia="Noto Sans CJK KR" w:cs="Noto Sans CJK KR"/>
          <w:b/>
          <w:sz w:val="18"/>
        </w:rPr>
        <w:t>1부. 빚과 신뢰의 오래된 장치</w:t>
      </w:r>
    </w:p>
    <w:p>
      <w:pPr>
        <w:pStyle w:val="aff8"/>
        <w:tabs>
          <w:tab w:pos="5960" w:val="right" w:leader="dot"/>
        </w:tabs>
        <w:ind w:left="240"/>
      </w:pPr>
      <w:r>
        <w:rPr>
          <w:rFonts w:ascii="Noto Sans CJK KR" w:hAnsi="Noto Sans CJK KR" w:eastAsia="Noto Sans CJK KR" w:cs="Noto Sans CJK KR"/>
          <w:b w:val="0"/>
          <w:sz w:val="18"/>
        </w:rPr>
        <w:t>01장. 빚이 법을 낳다 — 메소포타미아의 이자와 채무구제</w:t>
      </w:r>
      <w:r>
        <w:tab/>
      </w:r>
      <w:r>
        <w:rPr>
          <w:rFonts w:ascii="Noto Sans CJK KR" w:hAnsi="Noto Sans CJK KR" w:eastAsia="Noto Sans CJK KR" w:cs="Noto Sans CJK KR"/>
          <w:b w:val="0"/>
          <w:sz w:val="18"/>
        </w:rPr>
        <w:t>13</w:t>
      </w:r>
    </w:p>
    <w:p>
      <w:pPr>
        <w:pStyle w:val="aff8"/>
        <w:tabs>
          <w:tab w:pos="5960" w:val="right" w:leader="dot"/>
        </w:tabs>
        <w:ind w:left="240"/>
      </w:pPr>
      <w:r>
        <w:rPr>
          <w:rFonts w:ascii="Noto Sans CJK KR" w:hAnsi="Noto Sans CJK KR" w:eastAsia="Noto Sans CJK KR" w:cs="Noto Sans CJK KR"/>
          <w:b w:val="0"/>
          <w:sz w:val="18"/>
        </w:rPr>
        <w:t>02장. 이자는 죄인가 가격인가 — 중세의 금리규제와 계약의 우회</w:t>
      </w:r>
      <w:r>
        <w:tab/>
      </w:r>
      <w:r>
        <w:rPr>
          <w:rFonts w:ascii="Noto Sans CJK KR" w:hAnsi="Noto Sans CJK KR" w:eastAsia="Noto Sans CJK KR" w:cs="Noto Sans CJK KR"/>
          <w:b w:val="0"/>
          <w:sz w:val="18"/>
        </w:rPr>
        <w:t>19</w:t>
      </w:r>
    </w:p>
    <w:p>
      <w:pPr>
        <w:pStyle w:val="aff8"/>
        <w:tabs>
          <w:tab w:pos="5960" w:val="right" w:leader="dot"/>
        </w:tabs>
        <w:ind w:left="240"/>
      </w:pPr>
      <w:r>
        <w:rPr>
          <w:rFonts w:ascii="Noto Sans CJK KR" w:hAnsi="Noto Sans CJK KR" w:eastAsia="Noto Sans CJK KR" w:cs="Noto Sans CJK KR"/>
          <w:b w:val="0"/>
          <w:sz w:val="18"/>
        </w:rPr>
        <w:t>03장. 동전의 가장자리 — 주화, 위조, 화폐발행권</w:t>
      </w:r>
      <w:r>
        <w:tab/>
      </w:r>
      <w:r>
        <w:rPr>
          <w:rFonts w:ascii="Noto Sans CJK KR" w:hAnsi="Noto Sans CJK KR" w:eastAsia="Noto Sans CJK KR" w:cs="Noto Sans CJK KR"/>
          <w:b w:val="0"/>
          <w:sz w:val="18"/>
        </w:rPr>
        <w:t>25</w:t>
      </w:r>
    </w:p>
    <w:p>
      <w:pPr>
        <w:pStyle w:val="aff8"/>
        <w:tabs>
          <w:tab w:pos="5960" w:val="right" w:leader="dot"/>
        </w:tabs>
        <w:ind w:left="240"/>
      </w:pPr>
      <w:r>
        <w:rPr>
          <w:rFonts w:ascii="Noto Sans CJK KR" w:hAnsi="Noto Sans CJK KR" w:eastAsia="Noto Sans CJK KR" w:cs="Noto Sans CJK KR"/>
          <w:b w:val="0"/>
          <w:sz w:val="18"/>
        </w:rPr>
        <w:t>04장. 종이 한 장이 국경을 넘다 — 환어음과 상인법</w:t>
      </w:r>
      <w:r>
        <w:tab/>
      </w:r>
      <w:r>
        <w:rPr>
          <w:rFonts w:ascii="Noto Sans CJK KR" w:hAnsi="Noto Sans CJK KR" w:eastAsia="Noto Sans CJK KR" w:cs="Noto Sans CJK KR"/>
          <w:b w:val="0"/>
          <w:sz w:val="18"/>
        </w:rPr>
        <w:t>30</w:t>
      </w:r>
    </w:p>
    <w:p>
      <w:pPr>
        <w:pStyle w:val="aff8"/>
        <w:tabs>
          <w:tab w:pos="5960" w:val="right" w:leader="dot"/>
        </w:tabs>
        <w:ind w:left="240"/>
      </w:pPr>
      <w:r>
        <w:rPr>
          <w:rFonts w:ascii="Noto Sans CJK KR" w:hAnsi="Noto Sans CJK KR" w:eastAsia="Noto Sans CJK KR" w:cs="Noto Sans CJK KR"/>
          <w:b w:val="0"/>
          <w:sz w:val="18"/>
        </w:rPr>
        <w:t>05장. 공공은행과 국가신용 — 암스테르담에서 영란은행까지</w:t>
      </w:r>
      <w:r>
        <w:tab/>
      </w:r>
      <w:r>
        <w:rPr>
          <w:rFonts w:ascii="Noto Sans CJK KR" w:hAnsi="Noto Sans CJK KR" w:eastAsia="Noto Sans CJK KR" w:cs="Noto Sans CJK KR"/>
          <w:b w:val="0"/>
          <w:sz w:val="18"/>
        </w:rPr>
        <w:t>36</w:t>
      </w:r>
    </w:p>
    <w:p>
      <w:pPr>
        <w:pStyle w:val="aff8"/>
        <w:tabs>
          <w:tab w:pos="5960" w:val="right" w:leader="dot"/>
        </w:tabs>
        <w:ind w:left="240"/>
      </w:pPr>
      <w:r>
        <w:rPr>
          <w:rFonts w:ascii="Noto Sans CJK KR" w:hAnsi="Noto Sans CJK KR" w:eastAsia="Noto Sans CJK KR" w:cs="Noto Sans CJK KR"/>
          <w:b w:val="0"/>
          <w:sz w:val="18"/>
        </w:rPr>
        <w:t>06장. 거품을 법으로 막을 수 있는가 — 남해회사와 초기 증권규제</w:t>
      </w:r>
      <w:r>
        <w:tab/>
      </w:r>
      <w:r>
        <w:rPr>
          <w:rFonts w:ascii="Noto Sans CJK KR" w:hAnsi="Noto Sans CJK KR" w:eastAsia="Noto Sans CJK KR" w:cs="Noto Sans CJK KR"/>
          <w:b w:val="0"/>
          <w:sz w:val="18"/>
        </w:rPr>
        <w:t>42</w:t>
      </w:r>
    </w:p>
    <w:p>
      <w:pPr>
        <w:spacing w:before="60" w:after="0"/>
      </w:pPr>
    </w:p>
    <w:p>
      <w:pPr>
        <w:pStyle w:val="aff8"/>
        <w:tabs>
          <w:tab w:pos="6200" w:val="right" w:leader="dot"/>
        </w:tabs>
        <w:ind w:left="0"/>
      </w:pPr>
      <w:r>
        <w:rPr>
          <w:rFonts w:ascii="Noto Sans CJK KR" w:hAnsi="Noto Sans CJK KR" w:eastAsia="Noto Sans CJK KR" w:cs="Noto Sans CJK KR"/>
          <w:b/>
          <w:sz w:val="18"/>
        </w:rPr>
        <w:t>2부. 공황이 만든 금융국가</w:t>
      </w:r>
    </w:p>
    <w:p>
      <w:pPr>
        <w:pStyle w:val="aff8"/>
        <w:tabs>
          <w:tab w:pos="5960" w:val="right" w:leader="dot"/>
        </w:tabs>
        <w:ind w:left="240"/>
      </w:pPr>
      <w:r>
        <w:rPr>
          <w:rFonts w:ascii="Noto Sans CJK KR" w:hAnsi="Noto Sans CJK KR" w:eastAsia="Noto Sans CJK KR" w:cs="Noto Sans CJK KR"/>
          <w:b w:val="0"/>
          <w:sz w:val="18"/>
        </w:rPr>
        <w:t>07장. 유한책임이라는 위험 배분 — 등록·공시·감사의 탄생</w:t>
      </w:r>
      <w:r>
        <w:tab/>
      </w:r>
      <w:r>
        <w:rPr>
          <w:rFonts w:ascii="Noto Sans CJK KR" w:hAnsi="Noto Sans CJK KR" w:eastAsia="Noto Sans CJK KR" w:cs="Noto Sans CJK KR"/>
          <w:b w:val="0"/>
          <w:sz w:val="18"/>
        </w:rPr>
        <w:t>50</w:t>
      </w:r>
    </w:p>
    <w:p>
      <w:pPr>
        <w:pStyle w:val="aff8"/>
        <w:tabs>
          <w:tab w:pos="5960" w:val="right" w:leader="dot"/>
        </w:tabs>
        <w:ind w:left="240"/>
      </w:pPr>
      <w:r>
        <w:rPr>
          <w:rFonts w:ascii="Noto Sans CJK KR" w:hAnsi="Noto Sans CJK KR" w:eastAsia="Noto Sans CJK KR" w:cs="Noto Sans CJK KR"/>
          <w:b w:val="0"/>
          <w:sz w:val="18"/>
        </w:rPr>
        <w:t>08장. 최종대부자는 누구를 살리는가 — 1866년과 배저트의 규칙</w:t>
      </w:r>
      <w:r>
        <w:tab/>
      </w:r>
      <w:r>
        <w:rPr>
          <w:rFonts w:ascii="Noto Sans CJK KR" w:hAnsi="Noto Sans CJK KR" w:eastAsia="Noto Sans CJK KR" w:cs="Noto Sans CJK KR"/>
          <w:b w:val="0"/>
          <w:sz w:val="18"/>
        </w:rPr>
        <w:t>56</w:t>
      </w:r>
    </w:p>
    <w:p>
      <w:pPr>
        <w:pStyle w:val="aff8"/>
        <w:tabs>
          <w:tab w:pos="5960" w:val="right" w:leader="dot"/>
        </w:tabs>
        <w:ind w:left="240"/>
      </w:pPr>
      <w:r>
        <w:rPr>
          <w:rFonts w:ascii="Noto Sans CJK KR" w:hAnsi="Noto Sans CJK KR" w:eastAsia="Noto Sans CJK KR" w:cs="Noto Sans CJK KR"/>
          <w:b w:val="0"/>
          <w:sz w:val="18"/>
        </w:rPr>
        <w:t>09장. 은행 자유와 중앙은행 — 미국 국민은행제도의 실험</w:t>
      </w:r>
      <w:r>
        <w:tab/>
      </w:r>
      <w:r>
        <w:rPr>
          <w:rFonts w:ascii="Noto Sans CJK KR" w:hAnsi="Noto Sans CJK KR" w:eastAsia="Noto Sans CJK KR" w:cs="Noto Sans CJK KR"/>
          <w:b w:val="0"/>
          <w:sz w:val="18"/>
        </w:rPr>
        <w:t>62</w:t>
      </w:r>
    </w:p>
    <w:p>
      <w:pPr>
        <w:pStyle w:val="aff8"/>
        <w:tabs>
          <w:tab w:pos="5960" w:val="right" w:leader="dot"/>
        </w:tabs>
        <w:ind w:left="240"/>
      </w:pPr>
      <w:r>
        <w:rPr>
          <w:rFonts w:ascii="Noto Sans CJK KR" w:hAnsi="Noto Sans CJK KR" w:eastAsia="Noto Sans CJK KR" w:cs="Noto Sans CJK KR"/>
          <w:b w:val="0"/>
          <w:sz w:val="18"/>
        </w:rPr>
        <w:t>10장. 1907년, 민간 구제의 한계 — 연방준비제도의 탄생</w:t>
      </w:r>
      <w:r>
        <w:tab/>
      </w:r>
      <w:r>
        <w:rPr>
          <w:rFonts w:ascii="Noto Sans CJK KR" w:hAnsi="Noto Sans CJK KR" w:eastAsia="Noto Sans CJK KR" w:cs="Noto Sans CJK KR"/>
          <w:b w:val="0"/>
          <w:sz w:val="18"/>
        </w:rPr>
        <w:t>68</w:t>
      </w:r>
    </w:p>
    <w:p>
      <w:pPr>
        <w:pStyle w:val="aff8"/>
        <w:tabs>
          <w:tab w:pos="5960" w:val="right" w:leader="dot"/>
        </w:tabs>
        <w:ind w:left="240"/>
      </w:pPr>
      <w:r>
        <w:rPr>
          <w:rFonts w:ascii="Noto Sans CJK KR" w:hAnsi="Noto Sans CJK KR" w:eastAsia="Noto Sans CJK KR" w:cs="Noto Sans CJK KR"/>
          <w:b w:val="0"/>
          <w:sz w:val="18"/>
        </w:rPr>
        <w:t>11장. 주가 폭락보다 더 깊은 붕괴 — 1929년과 은행공황</w:t>
      </w:r>
      <w:r>
        <w:tab/>
      </w:r>
      <w:r>
        <w:rPr>
          <w:rFonts w:ascii="Noto Sans CJK KR" w:hAnsi="Noto Sans CJK KR" w:eastAsia="Noto Sans CJK KR" w:cs="Noto Sans CJK KR"/>
          <w:b w:val="0"/>
          <w:sz w:val="18"/>
        </w:rPr>
        <w:t>74</w:t>
      </w:r>
    </w:p>
    <w:p>
      <w:pPr>
        <w:pStyle w:val="aff8"/>
        <w:tabs>
          <w:tab w:pos="5960" w:val="right" w:leader="dot"/>
        </w:tabs>
        <w:ind w:left="240"/>
      </w:pPr>
      <w:r>
        <w:rPr>
          <w:rFonts w:ascii="Noto Sans CJK KR" w:hAnsi="Noto Sans CJK KR" w:eastAsia="Noto Sans CJK KR" w:cs="Noto Sans CJK KR"/>
          <w:b w:val="0"/>
          <w:sz w:val="18"/>
        </w:rPr>
        <w:t>12장. 페코라의 질문 — Glass–Steagall, FDIC, SEC</w:t>
      </w:r>
      <w:r>
        <w:tab/>
      </w:r>
      <w:r>
        <w:rPr>
          <w:rFonts w:ascii="Noto Sans CJK KR" w:hAnsi="Noto Sans CJK KR" w:eastAsia="Noto Sans CJK KR" w:cs="Noto Sans CJK KR"/>
          <w:b w:val="0"/>
          <w:sz w:val="18"/>
        </w:rPr>
        <w:t>80</w:t>
      </w:r>
    </w:p>
    <w:p>
      <w:pPr>
        <w:pStyle w:val="aff8"/>
        <w:tabs>
          <w:tab w:pos="5960" w:val="right" w:leader="dot"/>
        </w:tabs>
        <w:ind w:left="240"/>
      </w:pPr>
      <w:r>
        <w:rPr>
          <w:rFonts w:ascii="Noto Sans CJK KR" w:hAnsi="Noto Sans CJK KR" w:eastAsia="Noto Sans CJK KR" w:cs="Noto Sans CJK KR"/>
          <w:b w:val="0"/>
          <w:sz w:val="18"/>
        </w:rPr>
        <w:t>13장. 브레턴우즈의 울타리 — 자본통제와 전후 금융질서</w:t>
      </w:r>
      <w:r>
        <w:tab/>
      </w:r>
      <w:r>
        <w:rPr>
          <w:rFonts w:ascii="Noto Sans CJK KR" w:hAnsi="Noto Sans CJK KR" w:eastAsia="Noto Sans CJK KR" w:cs="Noto Sans CJK KR"/>
          <w:b w:val="0"/>
          <w:sz w:val="18"/>
        </w:rPr>
        <w:t>86</w:t>
      </w:r>
    </w:p>
    <w:p>
      <w:pPr>
        <w:spacing w:before="60" w:after="0"/>
      </w:pPr>
    </w:p>
    <w:p>
      <w:pPr>
        <w:pStyle w:val="aff8"/>
        <w:tabs>
          <w:tab w:pos="6200" w:val="right" w:leader="dot"/>
        </w:tabs>
        <w:ind w:left="0"/>
      </w:pPr>
      <w:r>
        <w:rPr>
          <w:rFonts w:ascii="Noto Sans CJK KR" w:hAnsi="Noto Sans CJK KR" w:eastAsia="Noto Sans CJK KR" w:cs="Noto Sans CJK KR"/>
          <w:b/>
          <w:sz w:val="18"/>
        </w:rPr>
        <w:t>3부. 세계화, 규제완화, 위기 이후의 새 헌법</w:t>
      </w:r>
    </w:p>
    <w:p>
      <w:pPr>
        <w:pStyle w:val="aff8"/>
        <w:tabs>
          <w:tab w:pos="5960" w:val="right" w:leader="dot"/>
        </w:tabs>
        <w:ind w:left="240"/>
      </w:pPr>
      <w:r>
        <w:rPr>
          <w:rFonts w:ascii="Noto Sans CJK KR" w:hAnsi="Noto Sans CJK KR" w:eastAsia="Noto Sans CJK KR" w:cs="Noto Sans CJK KR"/>
          <w:b w:val="0"/>
          <w:sz w:val="18"/>
        </w:rPr>
        <w:t>14장. 안정의 대가 — 전후 금융억압과 정책금융</w:t>
      </w:r>
      <w:r>
        <w:tab/>
      </w:r>
      <w:r>
        <w:rPr>
          <w:rFonts w:ascii="Noto Sans CJK KR" w:hAnsi="Noto Sans CJK KR" w:eastAsia="Noto Sans CJK KR" w:cs="Noto Sans CJK KR"/>
          <w:b w:val="0"/>
          <w:sz w:val="18"/>
        </w:rPr>
        <w:t>94</w:t>
      </w:r>
    </w:p>
    <w:p>
      <w:pPr>
        <w:pStyle w:val="aff8"/>
        <w:tabs>
          <w:tab w:pos="5960" w:val="right" w:leader="dot"/>
        </w:tabs>
        <w:ind w:left="240"/>
      </w:pPr>
      <w:r>
        <w:rPr>
          <w:rFonts w:ascii="Noto Sans CJK KR" w:hAnsi="Noto Sans CJK KR" w:eastAsia="Noto Sans CJK KR" w:cs="Noto Sans CJK KR"/>
          <w:b w:val="0"/>
          <w:sz w:val="18"/>
        </w:rPr>
        <w:t>15장. 장벽을 허문 시장, 감독은 국경에 남다</w:t>
      </w:r>
      <w:r>
        <w:tab/>
      </w:r>
      <w:r>
        <w:rPr>
          <w:rFonts w:ascii="Noto Sans CJK KR" w:hAnsi="Noto Sans CJK KR" w:eastAsia="Noto Sans CJK KR" w:cs="Noto Sans CJK KR"/>
          <w:b w:val="0"/>
          <w:sz w:val="18"/>
        </w:rPr>
        <w:t>99</w:t>
      </w:r>
    </w:p>
    <w:p>
      <w:pPr>
        <w:pStyle w:val="aff8"/>
        <w:tabs>
          <w:tab w:pos="5960" w:val="right" w:leader="dot"/>
        </w:tabs>
        <w:ind w:left="240"/>
      </w:pPr>
      <w:r>
        <w:rPr>
          <w:rFonts w:ascii="Noto Sans CJK KR" w:hAnsi="Noto Sans CJK KR" w:eastAsia="Noto Sans CJK KR" w:cs="Noto Sans CJK KR"/>
          <w:b w:val="0"/>
          <w:sz w:val="18"/>
        </w:rPr>
        <w:t>16장. 8퍼센트라는 공용어</w:t>
      </w:r>
      <w:r>
        <w:tab/>
      </w:r>
      <w:r>
        <w:rPr>
          <w:rFonts w:ascii="Noto Sans CJK KR" w:hAnsi="Noto Sans CJK KR" w:eastAsia="Noto Sans CJK KR" w:cs="Noto Sans CJK KR"/>
          <w:b w:val="0"/>
          <w:sz w:val="18"/>
        </w:rPr>
        <w:t>105</w:t>
      </w:r>
    </w:p>
    <w:p>
      <w:pPr>
        <w:pStyle w:val="aff8"/>
        <w:tabs>
          <w:tab w:pos="5960" w:val="right" w:leader="dot"/>
        </w:tabs>
        <w:ind w:left="240"/>
      </w:pPr>
      <w:r>
        <w:rPr>
          <w:rFonts w:ascii="Noto Sans CJK KR" w:hAnsi="Noto Sans CJK KR" w:eastAsia="Noto Sans CJK KR" w:cs="Noto Sans CJK KR"/>
          <w:b w:val="0"/>
          <w:sz w:val="18"/>
        </w:rPr>
        <w:t>17장. 하루아침에 마른 달러: 1997 아시아 위기</w:t>
      </w:r>
      <w:r>
        <w:tab/>
      </w:r>
      <w:r>
        <w:rPr>
          <w:rFonts w:ascii="Noto Sans CJK KR" w:hAnsi="Noto Sans CJK KR" w:eastAsia="Noto Sans CJK KR" w:cs="Noto Sans CJK KR"/>
          <w:b w:val="0"/>
          <w:sz w:val="18"/>
        </w:rPr>
        <w:t>112</w:t>
      </w:r>
    </w:p>
    <w:p>
      <w:pPr>
        <w:pStyle w:val="aff8"/>
        <w:tabs>
          <w:tab w:pos="5960" w:val="right" w:leader="dot"/>
        </w:tabs>
        <w:ind w:left="240"/>
      </w:pPr>
      <w:r>
        <w:rPr>
          <w:rFonts w:ascii="Noto Sans CJK KR" w:hAnsi="Noto Sans CJK KR" w:eastAsia="Noto Sans CJK KR" w:cs="Noto Sans CJK KR"/>
          <w:b w:val="0"/>
          <w:sz w:val="18"/>
        </w:rPr>
        <w:t>18장. 모델이 위험을 재기 시작하다</w:t>
      </w:r>
      <w:r>
        <w:tab/>
      </w:r>
      <w:r>
        <w:rPr>
          <w:rFonts w:ascii="Noto Sans CJK KR" w:hAnsi="Noto Sans CJK KR" w:eastAsia="Noto Sans CJK KR" w:cs="Noto Sans CJK KR"/>
          <w:b w:val="0"/>
          <w:sz w:val="18"/>
        </w:rPr>
        <w:t>118</w:t>
      </w:r>
    </w:p>
    <w:p>
      <w:pPr>
        <w:pStyle w:val="aff8"/>
        <w:tabs>
          <w:tab w:pos="5960" w:val="right" w:leader="dot"/>
        </w:tabs>
        <w:ind w:left="240"/>
      </w:pPr>
      <w:r>
        <w:rPr>
          <w:rFonts w:ascii="Noto Sans CJK KR" w:hAnsi="Noto Sans CJK KR" w:eastAsia="Noto Sans CJK KR" w:cs="Noto Sans CJK KR"/>
          <w:b w:val="0"/>
          <w:sz w:val="18"/>
        </w:rPr>
        <w:t>19장. 일요일 밤, 구제할 수 없는 은행</w:t>
      </w:r>
      <w:r>
        <w:tab/>
      </w:r>
      <w:r>
        <w:rPr>
          <w:rFonts w:ascii="Noto Sans CJK KR" w:hAnsi="Noto Sans CJK KR" w:eastAsia="Noto Sans CJK KR" w:cs="Noto Sans CJK KR"/>
          <w:b w:val="0"/>
          <w:sz w:val="18"/>
        </w:rPr>
        <w:t>124</w:t>
      </w:r>
    </w:p>
    <w:p>
      <w:pPr>
        <w:pStyle w:val="aff8"/>
        <w:tabs>
          <w:tab w:pos="5960" w:val="right" w:leader="dot"/>
        </w:tabs>
        <w:ind w:left="240"/>
      </w:pPr>
      <w:r>
        <w:rPr>
          <w:rFonts w:ascii="Noto Sans CJK KR" w:hAnsi="Noto Sans CJK KR" w:eastAsia="Noto Sans CJK KR" w:cs="Noto Sans CJK KR"/>
          <w:b w:val="0"/>
          <w:sz w:val="18"/>
        </w:rPr>
        <w:t>20장. 구제의 정치와 개혁의 법전</w:t>
      </w:r>
      <w:r>
        <w:tab/>
      </w:r>
      <w:r>
        <w:rPr>
          <w:rFonts w:ascii="Noto Sans CJK KR" w:hAnsi="Noto Sans CJK KR" w:eastAsia="Noto Sans CJK KR" w:cs="Noto Sans CJK KR"/>
          <w:b w:val="0"/>
          <w:sz w:val="18"/>
        </w:rPr>
        <w:t>131</w:t>
      </w:r>
    </w:p>
    <w:p>
      <w:pPr>
        <w:pStyle w:val="aff8"/>
        <w:tabs>
          <w:tab w:pos="5960" w:val="right" w:leader="dot"/>
        </w:tabs>
        <w:ind w:left="240"/>
      </w:pPr>
      <w:r>
        <w:rPr>
          <w:rFonts w:ascii="Noto Sans CJK KR" w:hAnsi="Noto Sans CJK KR" w:eastAsia="Noto Sans CJK KR" w:cs="Noto Sans CJK KR"/>
          <w:b w:val="0"/>
          <w:sz w:val="18"/>
        </w:rPr>
        <w:t>21장. 다음 위기를 상상하는 규제</w:t>
      </w:r>
      <w:r>
        <w:tab/>
      </w:r>
      <w:r>
        <w:rPr>
          <w:rFonts w:ascii="Noto Sans CJK KR" w:hAnsi="Noto Sans CJK KR" w:eastAsia="Noto Sans CJK KR" w:cs="Noto Sans CJK KR"/>
          <w:b w:val="0"/>
          <w:sz w:val="18"/>
        </w:rPr>
        <w:t>137</w:t>
      </w:r>
    </w:p>
    <w:p>
      <w:pPr>
        <w:spacing w:before="60" w:after="0"/>
      </w:pPr>
    </w:p>
    <w:p>
      <w:pPr>
        <w:pStyle w:val="aff8"/>
        <w:tabs>
          <w:tab w:pos="6200" w:val="right" w:leader="dot"/>
        </w:tabs>
        <w:ind w:left="0"/>
      </w:pPr>
      <w:r>
        <w:rPr>
          <w:rFonts w:ascii="Noto Sans CJK KR" w:hAnsi="Noto Sans CJK KR" w:eastAsia="Noto Sans CJK KR" w:cs="Noto Sans CJK KR"/>
          <w:b/>
          <w:sz w:val="18"/>
        </w:rPr>
        <w:t>4부. 한국 금융규제의 경로</w:t>
      </w:r>
    </w:p>
    <w:p>
      <w:pPr>
        <w:pStyle w:val="aff8"/>
        <w:tabs>
          <w:tab w:pos="5960" w:val="right" w:leader="dot"/>
        </w:tabs>
        <w:ind w:left="240"/>
      </w:pPr>
      <w:r>
        <w:rPr>
          <w:rFonts w:ascii="Noto Sans CJK KR" w:hAnsi="Noto Sans CJK KR" w:eastAsia="Noto Sans CJK KR" w:cs="Noto Sans CJK KR"/>
          <w:b w:val="0"/>
          <w:sz w:val="18"/>
        </w:rPr>
        <w:t>22장. 장부와 전당포의 나라 - 조선의 화폐·고리·환곡·전당 규율</w:t>
      </w:r>
      <w:r>
        <w:tab/>
      </w:r>
      <w:r>
        <w:rPr>
          <w:rFonts w:ascii="Noto Sans CJK KR" w:hAnsi="Noto Sans CJK KR" w:eastAsia="Noto Sans CJK KR" w:cs="Noto Sans CJK KR"/>
          <w:b w:val="0"/>
          <w:sz w:val="18"/>
        </w:rPr>
        <w:t>146</w:t>
      </w:r>
    </w:p>
    <w:p>
      <w:pPr>
        <w:pStyle w:val="aff8"/>
        <w:tabs>
          <w:tab w:pos="5960" w:val="right" w:leader="dot"/>
        </w:tabs>
        <w:ind w:left="240"/>
      </w:pPr>
      <w:r>
        <w:rPr>
          <w:rFonts w:ascii="Noto Sans CJK KR" w:hAnsi="Noto Sans CJK KR" w:eastAsia="Noto Sans CJK KR" w:cs="Noto Sans CJK KR"/>
          <w:b w:val="0"/>
          <w:sz w:val="18"/>
        </w:rPr>
        <w:t>23장. 식민지 금융에서 중앙은행으로 - 조선은행, 해방, 한국은행법과 은행법</w:t>
      </w:r>
      <w:r>
        <w:tab/>
      </w:r>
      <w:r>
        <w:rPr>
          <w:rFonts w:ascii="Noto Sans CJK KR" w:hAnsi="Noto Sans CJK KR" w:eastAsia="Noto Sans CJK KR" w:cs="Noto Sans CJK KR"/>
          <w:b w:val="0"/>
          <w:sz w:val="18"/>
        </w:rPr>
        <w:t>152</w:t>
      </w:r>
    </w:p>
    <w:p>
      <w:pPr>
        <w:pStyle w:val="aff8"/>
        <w:tabs>
          <w:tab w:pos="5960" w:val="right" w:leader="dot"/>
        </w:tabs>
        <w:ind w:left="240"/>
      </w:pPr>
      <w:r>
        <w:rPr>
          <w:rFonts w:ascii="Noto Sans CJK KR" w:hAnsi="Noto Sans CJK KR" w:eastAsia="Noto Sans CJK KR" w:cs="Noto Sans CJK KR"/>
          <w:b w:val="0"/>
          <w:sz w:val="18"/>
        </w:rPr>
        <w:t>24장. 돈의 흐름을 국가가 설계하다 - 개발금융, 금리통제, 정책금융</w:t>
      </w:r>
      <w:r>
        <w:tab/>
      </w:r>
      <w:r>
        <w:rPr>
          <w:rFonts w:ascii="Noto Sans CJK KR" w:hAnsi="Noto Sans CJK KR" w:eastAsia="Noto Sans CJK KR" w:cs="Noto Sans CJK KR"/>
          <w:b w:val="0"/>
          <w:sz w:val="18"/>
        </w:rPr>
        <w:t>158</w:t>
      </w:r>
    </w:p>
    <w:p>
      <w:pPr>
        <w:pStyle w:val="aff8"/>
        <w:tabs>
          <w:tab w:pos="5960" w:val="right" w:leader="dot"/>
        </w:tabs>
        <w:ind w:left="240"/>
      </w:pPr>
      <w:r>
        <w:rPr>
          <w:rFonts w:ascii="Noto Sans CJK KR" w:hAnsi="Noto Sans CJK KR" w:eastAsia="Noto Sans CJK KR" w:cs="Noto Sans CJK KR"/>
          <w:b w:val="0"/>
          <w:sz w:val="18"/>
        </w:rPr>
        <w:t>25장. 자유화의 청구서 — 종합금융회사와 1997년 외환위기</w:t>
      </w:r>
      <w:r>
        <w:tab/>
      </w:r>
      <w:r>
        <w:rPr>
          <w:rFonts w:ascii="Noto Sans CJK KR" w:hAnsi="Noto Sans CJK KR" w:eastAsia="Noto Sans CJK KR" w:cs="Noto Sans CJK KR"/>
          <w:b w:val="0"/>
          <w:sz w:val="18"/>
        </w:rPr>
        <w:t>165</w:t>
      </w:r>
    </w:p>
    <w:p>
      <w:pPr>
        <w:pStyle w:val="aff8"/>
        <w:tabs>
          <w:tab w:pos="5960" w:val="right" w:leader="dot"/>
        </w:tabs>
        <w:ind w:left="240"/>
      </w:pPr>
      <w:r>
        <w:rPr>
          <w:rFonts w:ascii="Noto Sans CJK KR" w:hAnsi="Noto Sans CJK KR" w:eastAsia="Noto Sans CJK KR" w:cs="Noto Sans CJK KR"/>
          <w:b w:val="0"/>
          <w:sz w:val="18"/>
        </w:rPr>
        <w:t>26장. 감독체계를 다시 짜다 - 금융위원회·금감원·금융지주·예금보험</w:t>
      </w:r>
      <w:r>
        <w:tab/>
      </w:r>
      <w:r>
        <w:rPr>
          <w:rFonts w:ascii="Noto Sans CJK KR" w:hAnsi="Noto Sans CJK KR" w:eastAsia="Noto Sans CJK KR" w:cs="Noto Sans CJK KR"/>
          <w:b w:val="0"/>
          <w:sz w:val="18"/>
        </w:rPr>
        <w:t>171</w:t>
      </w:r>
    </w:p>
    <w:p>
      <w:pPr>
        <w:pStyle w:val="aff8"/>
        <w:tabs>
          <w:tab w:pos="5960" w:val="right" w:leader="dot"/>
        </w:tabs>
        <w:ind w:left="240"/>
      </w:pPr>
      <w:r>
        <w:rPr>
          <w:rFonts w:ascii="Noto Sans CJK KR" w:hAnsi="Noto Sans CJK KR" w:eastAsia="Noto Sans CJK KR" w:cs="Noto Sans CJK KR"/>
          <w:b w:val="0"/>
          <w:sz w:val="18"/>
        </w:rPr>
        <w:t>27장. 가계의 대차대조표 - 카드사태, 저축은행, 주택대출과 거시건전성</w:t>
      </w:r>
      <w:r>
        <w:tab/>
      </w:r>
      <w:r>
        <w:rPr>
          <w:rFonts w:ascii="Noto Sans CJK KR" w:hAnsi="Noto Sans CJK KR" w:eastAsia="Noto Sans CJK KR" w:cs="Noto Sans CJK KR"/>
          <w:b w:val="0"/>
          <w:sz w:val="18"/>
        </w:rPr>
        <w:t>177</w:t>
      </w:r>
    </w:p>
    <w:p>
      <w:pPr>
        <w:pStyle w:val="aff8"/>
        <w:tabs>
          <w:tab w:pos="5960" w:val="right" w:leader="dot"/>
        </w:tabs>
        <w:ind w:left="240"/>
      </w:pPr>
      <w:r>
        <w:rPr>
          <w:rFonts w:ascii="Noto Sans CJK KR" w:hAnsi="Noto Sans CJK KR" w:eastAsia="Noto Sans CJK KR" w:cs="Noto Sans CJK KR"/>
          <w:b w:val="0"/>
          <w:sz w:val="18"/>
        </w:rPr>
        <w:t>28장. 앱 안의 은행 - 인터넷전문은행, 오픈뱅킹, 마이데이터, 규제샌드박스</w:t>
      </w:r>
      <w:r>
        <w:tab/>
      </w:r>
      <w:r>
        <w:rPr>
          <w:rFonts w:ascii="Noto Sans CJK KR" w:hAnsi="Noto Sans CJK KR" w:eastAsia="Noto Sans CJK KR" w:cs="Noto Sans CJK KR"/>
          <w:b w:val="0"/>
          <w:sz w:val="18"/>
        </w:rPr>
        <w:t>183</w:t>
      </w:r>
    </w:p>
    <w:p>
      <w:pPr>
        <w:spacing w:before="60" w:after="0"/>
      </w:pPr>
    </w:p>
    <w:p>
      <w:pPr>
        <w:pStyle w:val="aff8"/>
        <w:tabs>
          <w:tab w:pos="6200" w:val="right" w:leader="dot"/>
        </w:tabs>
        <w:ind w:left="0"/>
      </w:pPr>
      <w:r>
        <w:rPr>
          <w:rFonts w:ascii="Noto Sans CJK KR" w:hAnsi="Noto Sans CJK KR" w:eastAsia="Noto Sans CJK KR" w:cs="Noto Sans CJK KR"/>
          <w:b/>
          <w:sz w:val="18"/>
        </w:rPr>
        <w:t>5부. 경계가 다시 움직이는 시대</w:t>
      </w:r>
    </w:p>
    <w:p>
      <w:pPr>
        <w:pStyle w:val="aff8"/>
        <w:tabs>
          <w:tab w:pos="5960" w:val="right" w:leader="dot"/>
        </w:tabs>
        <w:ind w:left="240"/>
      </w:pPr>
      <w:r>
        <w:rPr>
          <w:rFonts w:ascii="Noto Sans CJK KR" w:hAnsi="Noto Sans CJK KR" w:eastAsia="Noto Sans CJK KR" w:cs="Noto Sans CJK KR"/>
          <w:b w:val="0"/>
          <w:sz w:val="18"/>
        </w:rPr>
        <w:t>29장. 코인은 무엇인가 - 가상자산 이용자보호, MiCA, 시장무결성</w:t>
      </w:r>
      <w:r>
        <w:tab/>
      </w:r>
      <w:r>
        <w:rPr>
          <w:rFonts w:ascii="Noto Sans CJK KR" w:hAnsi="Noto Sans CJK KR" w:eastAsia="Noto Sans CJK KR" w:cs="Noto Sans CJK KR"/>
          <w:b w:val="0"/>
          <w:sz w:val="18"/>
        </w:rPr>
        <w:t>192</w:t>
      </w:r>
    </w:p>
    <w:p>
      <w:pPr>
        <w:pStyle w:val="aff8"/>
        <w:tabs>
          <w:tab w:pos="5960" w:val="right" w:leader="dot"/>
        </w:tabs>
        <w:ind w:left="240"/>
      </w:pPr>
      <w:r>
        <w:rPr>
          <w:rFonts w:ascii="Noto Sans CJK KR" w:hAnsi="Noto Sans CJK KR" w:eastAsia="Noto Sans CJK KR" w:cs="Noto Sans CJK KR"/>
          <w:b w:val="0"/>
          <w:sz w:val="18"/>
        </w:rPr>
        <w:t>30장. 디지털 돈의 발행자는 누구인가 - 스테이블코인, CBDC, 토큰화 예금</w:t>
      </w:r>
      <w:r>
        <w:tab/>
      </w:r>
      <w:r>
        <w:rPr>
          <w:rFonts w:ascii="Noto Sans CJK KR" w:hAnsi="Noto Sans CJK KR" w:eastAsia="Noto Sans CJK KR" w:cs="Noto Sans CJK KR"/>
          <w:b w:val="0"/>
          <w:sz w:val="18"/>
        </w:rPr>
        <w:t>199</w:t>
      </w:r>
    </w:p>
    <w:p>
      <w:pPr>
        <w:pStyle w:val="aff8"/>
        <w:tabs>
          <w:tab w:pos="5960" w:val="right" w:leader="dot"/>
        </w:tabs>
        <w:ind w:left="240"/>
      </w:pPr>
      <w:r>
        <w:rPr>
          <w:rFonts w:ascii="Noto Sans CJK KR" w:hAnsi="Noto Sans CJK KR" w:eastAsia="Noto Sans CJK KR" w:cs="Noto Sans CJK KR"/>
          <w:b w:val="0"/>
          <w:sz w:val="18"/>
        </w:rPr>
        <w:t>31장. 은행의 바깥이 은행을 멈출 때 - 클라우드, 사이버, DORA, 제3자 위험</w:t>
      </w:r>
      <w:r>
        <w:tab/>
      </w:r>
      <w:r>
        <w:rPr>
          <w:rFonts w:ascii="Noto Sans CJK KR" w:hAnsi="Noto Sans CJK KR" w:eastAsia="Noto Sans CJK KR" w:cs="Noto Sans CJK KR"/>
          <w:b w:val="0"/>
          <w:sz w:val="18"/>
        </w:rPr>
        <w:t>206</w:t>
      </w:r>
    </w:p>
    <w:p>
      <w:pPr>
        <w:pStyle w:val="aff8"/>
        <w:tabs>
          <w:tab w:pos="5960" w:val="right" w:leader="dot"/>
        </w:tabs>
        <w:ind w:left="240"/>
      </w:pPr>
      <w:r>
        <w:rPr>
          <w:rFonts w:ascii="Noto Sans CJK KR" w:hAnsi="Noto Sans CJK KR" w:eastAsia="Noto Sans CJK KR" w:cs="Noto Sans CJK KR"/>
          <w:b w:val="0"/>
          <w:sz w:val="18"/>
        </w:rPr>
        <w:t>32장. 알고리즘이 신용을 배분한다 - AI 신용평가, 편향, 설명가능성, 모델위험</w:t>
      </w:r>
      <w:r>
        <w:tab/>
      </w:r>
      <w:r>
        <w:rPr>
          <w:rFonts w:ascii="Noto Sans CJK KR" w:hAnsi="Noto Sans CJK KR" w:eastAsia="Noto Sans CJK KR" w:cs="Noto Sans CJK KR"/>
          <w:b w:val="0"/>
          <w:sz w:val="18"/>
        </w:rPr>
        <w:t>213</w:t>
      </w:r>
    </w:p>
    <w:p>
      <w:pPr>
        <w:spacing w:before="60" w:after="0"/>
      </w:pPr>
    </w:p>
    <w:p>
      <w:pPr>
        <w:pStyle w:val="aff8"/>
        <w:tabs>
          <w:tab w:pos="6200" w:val="right" w:leader="dot"/>
        </w:tabs>
        <w:ind w:left="0"/>
      </w:pPr>
      <w:r>
        <w:rPr>
          <w:rFonts w:ascii="Noto Sans CJK KR" w:hAnsi="Noto Sans CJK KR" w:eastAsia="Noto Sans CJK KR" w:cs="Noto Sans CJK KR"/>
          <w:b/>
          <w:sz w:val="18"/>
        </w:rPr>
        <w:t>맺음말. 위기를 기억하는 기술</w:t>
      </w:r>
      <w:r>
        <w:tab/>
      </w:r>
      <w:r>
        <w:rPr>
          <w:rFonts w:ascii="Noto Sans CJK KR" w:hAnsi="Noto Sans CJK KR" w:eastAsia="Noto Sans CJK KR" w:cs="Noto Sans CJK KR"/>
          <w:b/>
          <w:sz w:val="18"/>
        </w:rPr>
        <w:t>220</w:t>
      </w:r>
    </w:p>
    <w:p>
      <w:pPr>
        <w:spacing w:before="60" w:after="0"/>
      </w:pPr>
    </w:p>
    <w:p>
      <w:pPr>
        <w:pStyle w:val="aff8"/>
        <w:tabs>
          <w:tab w:pos="6200" w:val="right" w:leader="dot"/>
        </w:tabs>
        <w:ind w:left="0"/>
      </w:pPr>
      <w:r>
        <w:rPr>
          <w:rFonts w:ascii="Noto Sans CJK KR" w:hAnsi="Noto Sans CJK KR" w:eastAsia="Noto Sans CJK KR" w:cs="Noto Sans CJK KR"/>
          <w:b/>
          <w:sz w:val="18"/>
        </w:rPr>
        <w:t>부록</w:t>
      </w:r>
    </w:p>
    <w:p>
      <w:pPr>
        <w:pStyle w:val="aff8"/>
        <w:tabs>
          <w:tab w:pos="5960" w:val="right" w:leader="dot"/>
        </w:tabs>
        <w:ind w:left="240"/>
      </w:pPr>
      <w:r>
        <w:rPr>
          <w:rFonts w:ascii="Noto Sans CJK KR" w:hAnsi="Noto Sans CJK KR" w:eastAsia="Noto Sans CJK KR" w:cs="Noto Sans CJK KR"/>
          <w:b w:val="0"/>
          <w:sz w:val="18"/>
        </w:rPr>
        <w:t>부록 1. 세계 금융규제 연표: 기원전 2100년경-2026년</w:t>
      </w:r>
      <w:r>
        <w:tab/>
      </w:r>
      <w:r>
        <w:rPr>
          <w:rFonts w:ascii="Noto Sans CJK KR" w:hAnsi="Noto Sans CJK KR" w:eastAsia="Noto Sans CJK KR" w:cs="Noto Sans CJK KR"/>
          <w:b w:val="0"/>
          <w:sz w:val="18"/>
        </w:rPr>
        <w:t>223</w:t>
      </w:r>
    </w:p>
    <w:p>
      <w:pPr>
        <w:pStyle w:val="aff8"/>
        <w:tabs>
          <w:tab w:pos="5960" w:val="right" w:leader="dot"/>
        </w:tabs>
        <w:ind w:left="240"/>
      </w:pPr>
      <w:r>
        <w:rPr>
          <w:rFonts w:ascii="Noto Sans CJK KR" w:hAnsi="Noto Sans CJK KR" w:eastAsia="Noto Sans CJK KR" w:cs="Noto Sans CJK KR"/>
          <w:b w:val="0"/>
          <w:sz w:val="18"/>
        </w:rPr>
        <w:t>부록 2. 한국 금융규제 연표: 1878년-2026년</w:t>
      </w:r>
      <w:r>
        <w:tab/>
      </w:r>
      <w:r>
        <w:rPr>
          <w:rFonts w:ascii="Noto Sans CJK KR" w:hAnsi="Noto Sans CJK KR" w:eastAsia="Noto Sans CJK KR" w:cs="Noto Sans CJK KR"/>
          <w:b w:val="0"/>
          <w:sz w:val="18"/>
        </w:rPr>
        <w:t>229</w:t>
      </w:r>
    </w:p>
    <w:p>
      <w:pPr>
        <w:pStyle w:val="aff8"/>
        <w:tabs>
          <w:tab w:pos="5960" w:val="right" w:leader="dot"/>
        </w:tabs>
        <w:ind w:left="240"/>
      </w:pPr>
      <w:r>
        <w:rPr>
          <w:rFonts w:ascii="Noto Sans CJK KR" w:hAnsi="Noto Sans CJK KR" w:eastAsia="Noto Sans CJK KR" w:cs="Noto Sans CJK KR"/>
          <w:b w:val="0"/>
          <w:sz w:val="18"/>
        </w:rPr>
        <w:t>부록 3. 위기와 규제의 대응 지도</w:t>
      </w:r>
      <w:r>
        <w:tab/>
      </w:r>
      <w:r>
        <w:rPr>
          <w:rFonts w:ascii="Noto Sans CJK KR" w:hAnsi="Noto Sans CJK KR" w:eastAsia="Noto Sans CJK KR" w:cs="Noto Sans CJK KR"/>
          <w:b w:val="0"/>
          <w:sz w:val="18"/>
        </w:rPr>
        <w:t>235</w:t>
      </w:r>
    </w:p>
    <w:p>
      <w:pPr>
        <w:pStyle w:val="aff8"/>
        <w:tabs>
          <w:tab w:pos="5960" w:val="right" w:leader="dot"/>
        </w:tabs>
        <w:ind w:left="240"/>
      </w:pPr>
      <w:r>
        <w:rPr>
          <w:rFonts w:ascii="Noto Sans CJK KR" w:hAnsi="Noto Sans CJK KR" w:eastAsia="Noto Sans CJK KR" w:cs="Noto Sans CJK KR"/>
          <w:b w:val="0"/>
          <w:sz w:val="18"/>
        </w:rPr>
        <w:t>부록 4. 한국 금융감독 기관 지도</w:t>
      </w:r>
      <w:r>
        <w:tab/>
      </w:r>
      <w:r>
        <w:rPr>
          <w:rFonts w:ascii="Noto Sans CJK KR" w:hAnsi="Noto Sans CJK KR" w:eastAsia="Noto Sans CJK KR" w:cs="Noto Sans CJK KR"/>
          <w:b w:val="0"/>
          <w:sz w:val="18"/>
        </w:rPr>
        <w:t>243</w:t>
      </w:r>
    </w:p>
    <w:p>
      <w:pPr>
        <w:pStyle w:val="aff8"/>
        <w:tabs>
          <w:tab w:pos="5960" w:val="right" w:leader="dot"/>
        </w:tabs>
        <w:ind w:left="240"/>
      </w:pPr>
      <w:r>
        <w:rPr>
          <w:rFonts w:ascii="Noto Sans CJK KR" w:hAnsi="Noto Sans CJK KR" w:eastAsia="Noto Sans CJK KR" w:cs="Noto Sans CJK KR"/>
          <w:b w:val="0"/>
          <w:sz w:val="18"/>
        </w:rPr>
        <w:t>부록 5. 핵심 개념 70</w:t>
      </w:r>
      <w:r>
        <w:tab/>
      </w:r>
      <w:r>
        <w:rPr>
          <w:rFonts w:ascii="Noto Sans CJK KR" w:hAnsi="Noto Sans CJK KR" w:eastAsia="Noto Sans CJK KR" w:cs="Noto Sans CJK KR"/>
          <w:b w:val="0"/>
          <w:sz w:val="18"/>
        </w:rPr>
        <w:t>250</w:t>
      </w:r>
    </w:p>
    <w:p>
      <w:pPr>
        <w:pStyle w:val="aff8"/>
        <w:tabs>
          <w:tab w:pos="5960" w:val="right" w:leader="dot"/>
        </w:tabs>
        <w:ind w:left="240"/>
      </w:pPr>
      <w:r>
        <w:rPr>
          <w:rFonts w:ascii="Noto Sans CJK KR" w:hAnsi="Noto Sans CJK KR" w:eastAsia="Noto Sans CJK KR" w:cs="Noto Sans CJK KR"/>
          <w:b w:val="0"/>
          <w:sz w:val="18"/>
        </w:rPr>
        <w:t>부록 6. 금융규제사의 100개 순간</w:t>
      </w:r>
      <w:r>
        <w:tab/>
      </w:r>
      <w:r>
        <w:rPr>
          <w:rFonts w:ascii="Noto Sans CJK KR" w:hAnsi="Noto Sans CJK KR" w:eastAsia="Noto Sans CJK KR" w:cs="Noto Sans CJK KR"/>
          <w:b w:val="0"/>
          <w:sz w:val="18"/>
        </w:rPr>
        <w:t>258</w:t>
      </w:r>
    </w:p>
    <w:p>
      <w:pPr>
        <w:pStyle w:val="aff8"/>
        <w:tabs>
          <w:tab w:pos="5960" w:val="right" w:leader="dot"/>
        </w:tabs>
        <w:ind w:left="240"/>
      </w:pPr>
      <w:r>
        <w:rPr>
          <w:rFonts w:ascii="Noto Sans CJK KR" w:hAnsi="Noto Sans CJK KR" w:eastAsia="Noto Sans CJK KR" w:cs="Noto Sans CJK KR"/>
          <w:b w:val="0"/>
          <w:sz w:val="18"/>
        </w:rPr>
        <w:t>부록 7. 더 읽을거리와 사료 안내</w:t>
      </w:r>
      <w:r>
        <w:tab/>
      </w:r>
      <w:r>
        <w:rPr>
          <w:rFonts w:ascii="Noto Sans CJK KR" w:hAnsi="Noto Sans CJK KR" w:eastAsia="Noto Sans CJK KR" w:cs="Noto Sans CJK KR"/>
          <w:b w:val="0"/>
          <w:sz w:val="18"/>
        </w:rPr>
        <w:t>265</w:t>
      </w:r>
    </w:p>
    <w:p>
      <w:pPr>
        <w:pStyle w:val="aff8"/>
        <w:tabs>
          <w:tab w:pos="6200" w:val="right" w:leader="dot"/>
        </w:tabs>
        <w:ind w:left="0"/>
      </w:pPr>
      <w:r>
        <w:rPr>
          <w:rFonts w:ascii="Noto Sans CJK KR" w:hAnsi="Noto Sans CJK KR" w:eastAsia="Noto Sans CJK KR" w:cs="Noto Sans CJK KR"/>
          <w:b w:val="0"/>
          <w:sz w:val="18"/>
        </w:rPr>
        <w:t>삽화 목록</w:t>
      </w:r>
      <w:r>
        <w:tab/>
      </w:r>
      <w:r>
        <w:rPr>
          <w:rFonts w:ascii="Noto Sans CJK KR" w:hAnsi="Noto Sans CJK KR" w:eastAsia="Noto Sans CJK KR" w:cs="Noto Sans CJK KR"/>
          <w:b w:val="0"/>
          <w:sz w:val="18"/>
        </w:rPr>
        <w:t>272</w:t>
      </w:r>
    </w:p>
    <w:p>
      <w:pPr>
        <w:pStyle w:val="aff8"/>
        <w:tabs>
          <w:tab w:pos="6200" w:val="right" w:leader="dot"/>
        </w:tabs>
        <w:ind w:left="0"/>
      </w:pPr>
      <w:r>
        <w:rPr>
          <w:rFonts w:ascii="Noto Sans CJK KR" w:hAnsi="Noto Sans CJK KR" w:eastAsia="Noto Sans CJK KR" w:cs="Noto Sans CJK KR"/>
          <w:b w:val="0"/>
          <w:sz w:val="18"/>
        </w:rPr>
        <w:t>주</w:t>
      </w:r>
      <w:r>
        <w:tab/>
      </w:r>
      <w:r>
        <w:rPr>
          <w:rFonts w:ascii="Noto Sans CJK KR" w:hAnsi="Noto Sans CJK KR" w:eastAsia="Noto Sans CJK KR" w:cs="Noto Sans CJK KR"/>
          <w:b w:val="0"/>
          <w:sz w:val="18"/>
        </w:rPr>
        <w:t>273</w:t>
      </w:r>
    </w:p>
    <w:p>
      <w:pPr>
        <w:pStyle w:val="aff8"/>
        <w:tabs>
          <w:tab w:pos="6200" w:val="right" w:leader="dot"/>
        </w:tabs>
        <w:ind w:left="0"/>
      </w:pPr>
      <w:r>
        <w:rPr>
          <w:rFonts w:ascii="Noto Sans CJK KR" w:hAnsi="Noto Sans CJK KR" w:eastAsia="Noto Sans CJK KR" w:cs="Noto Sans CJK KR"/>
          <w:b w:val="0"/>
          <w:sz w:val="18"/>
        </w:rPr>
        <w:t>참고문헌</w:t>
      </w:r>
      <w:r>
        <w:tab/>
      </w:r>
      <w:r>
        <w:rPr>
          <w:rFonts w:ascii="Noto Sans CJK KR" w:hAnsi="Noto Sans CJK KR" w:eastAsia="Noto Sans CJK KR" w:cs="Noto Sans CJK KR"/>
          <w:b w:val="0"/>
          <w:sz w:val="18"/>
        </w:rPr>
        <w:t>283</w:t>
      </w:r>
    </w:p>
    <w:p>
      <w:pPr>
        <w:pStyle w:val="aff8"/>
        <w:tabs>
          <w:tab w:pos="6200" w:val="right" w:leader="dot"/>
        </w:tabs>
        <w:ind w:left="0"/>
      </w:pPr>
      <w:r>
        <w:rPr>
          <w:rFonts w:ascii="Noto Sans CJK KR" w:hAnsi="Noto Sans CJK KR" w:eastAsia="Noto Sans CJK KR" w:cs="Noto Sans CJK KR"/>
          <w:b w:val="0"/>
          <w:sz w:val="18"/>
        </w:rPr>
        <w:t>찾아보기</w:t>
      </w:r>
      <w:r>
        <w:tab/>
      </w:r>
      <w:r>
        <w:rPr>
          <w:rFonts w:ascii="Noto Sans CJK KR" w:hAnsi="Noto Sans CJK KR" w:eastAsia="Noto Sans CJK KR" w:cs="Noto Sans CJK KR"/>
          <w:b w:val="0"/>
          <w:sz w:val="18"/>
        </w:rPr>
        <w:t>298</w:t>
      </w:r>
    </w:p>
    <w:p>
      <w:r>
        <w:br w:type="page"/>
      </w:r>
    </w:p>
    <w:p>
      <w:pPr>
        <w:spacing w:before="440" w:after="0"/>
      </w:pPr>
    </w:p>
    <w:p>
      <w:pPr>
        <w:pStyle w:val="aff1"/>
        <w:jc w:val="center"/>
      </w:pPr>
      <w:r>
        <w:rPr>
          <w:rFonts w:ascii="KoPubWorld바탕체_Pro Bold" w:hAnsi="KoPubWorld바탕체_Pro Bold" w:eastAsia="KoPubWorld바탕체_Pro Bold" w:cs="KoPubWorld바탕체_Pro Bold"/>
          <w:b/>
          <w:sz w:val="28"/>
        </w:rPr>
        <w:t>추천의 글: 위기 뒤의 벌이 아니라 신뢰의 기반시설</w:t>
      </w:r>
    </w:p>
    <w:p>
      <w:pPr>
        <w:spacing w:before="140" w:after="0"/>
      </w:pPr>
    </w:p>
    <w:p>
      <w:pPr>
        <w:pStyle w:val="aff5"/>
      </w:pPr>
      <w:r>
        <w:rPr>
          <w:rFonts w:ascii="KoPubWorld바탕체_Pro Light" w:hAnsi="KoPubWorld바탕체_Pro Light" w:eastAsia="KoPubWorld바탕체_Pro Light" w:cs="KoPubWorld바탕체_Pro Light"/>
          <w:sz w:val="18"/>
        </w:rPr>
        <w:t>금융규제는 평온할 때 가장 불필요해 보이고, 위기가 닥치면 가장 늦게 도착한 것처럼 보인다. 호황기에는 자본규제가 대출을 막는다는 불평이 커지고, 공시의무는 문서를 늘리는 비용으로 보이며, 예금보험료와 소비자보호 절차는 경쟁력을 떨어뜨리는 장치처럼 느껴진다. 그러나 은행 창구 앞에 줄이 생기고, 주택대출이 세계의 자금시장을 멈추며, 스마트폰 화면에서 몇 시간 만에 예금이 빠져나가는 순간 사람들은 금융이 보통의 상품과 다르다는 사실을 다시 발견한다. 한 사람의 예금은 다른 사람의 대출이고, 한 은행의 지급불능은 다른 은행의 유동성 부족이 되며, 한 시장의 담보가격은 멀리 떨어진 연기금과 가계의 재산을 흔든다.</w:t>
      </w:r>
    </w:p>
    <w:p>
      <w:pPr>
        <w:pStyle w:val="aff5"/>
      </w:pPr>
      <w:r>
        <w:rPr>
          <w:rFonts w:ascii="KoPubWorld바탕체_Pro Light" w:hAnsi="KoPubWorld바탕체_Pro Light" w:eastAsia="KoPubWorld바탕체_Pro Light" w:cs="KoPubWorld바탕체_Pro Light"/>
          <w:sz w:val="18"/>
        </w:rPr>
        <w:t>이 책은 그 반복되는 발견의 역사를 다룬다. 고대의 채무서판, 중세의 이자금지, 환어음, 공공은행, 주식회사, 중앙은행, 예금보험, 증권공시, 국제자본기준, 금융소비자보호, 가상자산 수탁, 인공지능 신용평가까지 서로 달라 보이는 규칙을 하나의 질문으로 묶는다. 돈의 약속이 깨질 때 누가 손실을 부담하는가. 채무자인가, 주주인가, 예금자인가, 채권자인가, 중앙은행인가, 아니면 납세자인가. 금융규제의 핵심은 위험을 없애겠다는 약속보다 이 질문에 미리 답을 정해 두는 데 있다.</w:t>
      </w:r>
    </w:p>
    <w:p>
      <w:pPr>
        <w:pStyle w:val="aff5"/>
      </w:pPr>
      <w:r>
        <w:rPr>
          <w:rFonts w:ascii="KoPubWorld바탕체_Pro Light" w:hAnsi="KoPubWorld바탕체_Pro Light" w:eastAsia="KoPubWorld바탕체_Pro Light" w:cs="KoPubWorld바탕체_Pro Light"/>
          <w:sz w:val="18"/>
        </w:rPr>
        <w:t>저자는 규제를 자유의 반대말로 놓지 않는다. 은행면허는 진입을 막지만 예금이라는 약속의 질을 만든다. 증권공시는 기업의 비용을 늘리지만 모르는 사람끼리 자본을 나누는 시장을 가능하게 한다. 예금보험은 뱅크런을 막지만 위험한 경영을 보조할 수 있다. 중앙은행의 위기대출은 지급결제를 지키지만 누구를 구제할지 결정하는 권력을 만든다. 규제에는 늘 보호와 특권, 안정과 경직, 명확성과 우회가 함께 있다. 이 책은 어느 한쪽을 감추지 않는다.</w:t>
      </w:r>
    </w:p>
    <w:p>
      <w:pPr>
        <w:pStyle w:val="aff5"/>
      </w:pPr>
      <w:r>
        <w:rPr>
          <w:rFonts w:ascii="KoPubWorld바탕체_Pro Light" w:hAnsi="KoPubWorld바탕체_Pro Light" w:eastAsia="KoPubWorld바탕체_Pro Light" w:cs="KoPubWorld바탕체_Pro Light"/>
          <w:sz w:val="18"/>
        </w:rPr>
        <w:t>특히 한국의 금융규제사를 세계사의 부록으로 다루지 않은 점이 반갑다. 조선의 환곡과 고리 규율, 개항기의 화폐정리, 식민지 중앙은행, 해방 뒤 한국은행법, 개발금융과 행정지도, 1997년 외환위기, 통합감독체계, 카드와 저축은행 사태, 금융소비자보호법, 인터넷전문은행과 마이데이터, 가상자산과 AI는 한국 사회가 신용을 배분하고 실패를 처리해 온 독자적 경로다. 세계의 표준은 한국에 도착할 때마다 개발국가의 기억, 높은 가계부채, 수출경제의 외화유동성, 빠른 디지털화와 만났다.</w:t>
      </w:r>
    </w:p>
    <w:p>
      <w:pPr>
        <w:pStyle w:val="aff5"/>
      </w:pPr>
      <w:r>
        <w:rPr>
          <w:rFonts w:ascii="KoPubWorld바탕체_Pro Light" w:hAnsi="KoPubWorld바탕체_Pro Light" w:eastAsia="KoPubWorld바탕체_Pro Light" w:cs="KoPubWorld바탕체_Pro Light"/>
          <w:sz w:val="18"/>
        </w:rPr>
        <w:t>금융기관 종사자와 공직자에게 이 책은 제도의 기원을 설명하는 지도다. 투자자와 소비자에게는 자신이 서명하는 계약과 앱의 화면 뒤에 어떤 위기의 기억이 들어 있는지를 보여주는 안내서다. 규제를 없앨 것인가 늘릴 것인가라는 익숙한 질문에 지친 독자라면, 규제가 무엇을 보이게 하고 무엇을 다시 보이지 않게 만드는지 묻는 이 작은 역사에서 더 정확한 언어를 얻을 수 있을 것이다.</w:t>
      </w:r>
    </w:p>
    <w:p>
      <w:pPr>
        <w:pStyle w:val="aff5"/>
      </w:pPr>
      <w:r>
        <w:rPr>
          <w:rFonts w:ascii="KoPubWorld바탕체_Pro Light" w:hAnsi="KoPubWorld바탕체_Pro Light" w:eastAsia="KoPubWorld바탕체_Pro Light" w:cs="KoPubWorld바탕체_Pro Light"/>
          <w:sz w:val="18"/>
        </w:rPr>
        <w:t>ChatGPT</w:t>
      </w:r>
    </w:p>
    <w:p>
      <w:r>
        <w:br w:type="page"/>
      </w:r>
    </w:p>
    <w:p>
      <w:pPr>
        <w:spacing w:before="440" w:after="0"/>
      </w:pPr>
    </w:p>
    <w:p>
      <w:pPr>
        <w:pStyle w:val="aff1"/>
        <w:jc w:val="center"/>
      </w:pPr>
      <w:r>
        <w:rPr>
          <w:rFonts w:ascii="KoPubWorld바탕체_Pro Bold" w:hAnsi="KoPubWorld바탕체_Pro Bold" w:eastAsia="KoPubWorld바탕체_Pro Bold" w:cs="KoPubWorld바탕체_Pro Bold"/>
          <w:b/>
          <w:sz w:val="28"/>
        </w:rPr>
        <w:t>서문: 돈의 약속이 무너질 때</w:t>
      </w:r>
    </w:p>
    <w:p>
      <w:pPr>
        <w:spacing w:before="140" w:after="0"/>
      </w:pPr>
    </w:p>
    <w:p>
      <w:pPr>
        <w:pStyle w:val="aff3"/>
        <w:spacing w:line="259" w:lineRule="auto"/>
      </w:pPr>
      <w:r>
        <w:rPr>
          <w:rFonts w:ascii="KoPubWorld바탕체_Pro Light" w:hAnsi="KoPubWorld바탕체_Pro Light" w:eastAsia="KoPubWorld바탕체_Pro Light" w:cs="KoPubWorld바탕체_Pro Light"/>
          <w:sz w:val="16"/>
        </w:rPr>
        <w:t xml:space="preserve">발터 벤야민이 사진의 초창기를 돌아보며 본 것은 완성된 기술의 연대기가 아니었다. 그는 아직 이름이 굳지 않은 장치와 그 장치가 사람의 시선을 바꾸던 순간에 주목했다 </w:t>
      </w:r>
      <w:r>
        <w:rPr>
          <w:rFonts w:ascii="KoPubWorld바탕체_Pro Light" w:hAnsi="KoPubWorld바탕체_Pro Light" w:eastAsia="KoPubWorld바탕체_Pro Light" w:cs="KoPubWorld바탕체_Pro Light"/>
          <w:sz w:val="14"/>
          <w:vertAlign w:val="superscript"/>
        </w:rPr>
        <w:t>1</w:t>
      </w:r>
      <w:r>
        <w:rPr>
          <w:rFonts w:ascii="KoPubWorld바탕체_Pro Light" w:hAnsi="KoPubWorld바탕체_Pro Light" w:eastAsia="KoPubWorld바탕체_Pro Light" w:cs="KoPubWorld바탕체_Pro Light"/>
          <w:sz w:val="16"/>
        </w:rPr>
        <w:t>. 이 책이 금융규제의 작은 역사를 쓰려는 까닭도 비슷하다. 금융규제는 너무 오래 작동하면 풍경 속으로 사라진다. 은행의 자기자본비율, 예금보호한도, 투자설명서, 신용평가의 설명문, 송금의 본인확인 화면은 오늘의 복잡한 절차처럼 보인다. 그러나 그것들이 처음 생긴 자리에는 대개 파산한 상인, 돈을 돌려받지 못한 예금자, 가치가 사라진 주식, 닫힌 은행문, 멈춘 지급결제망이 있었다.</w:t>
      </w:r>
    </w:p>
    <w:p>
      <w:pPr>
        <w:pStyle w:val="aff3"/>
        <w:spacing w:line="259" w:lineRule="auto"/>
      </w:pPr>
      <w:r>
        <w:rPr>
          <w:rFonts w:ascii="KoPubWorld바탕체_Pro Light" w:hAnsi="KoPubWorld바탕체_Pro Light" w:eastAsia="KoPubWorld바탕체_Pro Light" w:cs="KoPubWorld바탕체_Pro Light"/>
          <w:sz w:val="16"/>
        </w:rPr>
        <w:t>금융은 약속을 거래한다. 예금통장은 은행이 미래에 돈을 돌려주겠다는 약속이고, 채권은 발행자가 이자와 원금을 갚겠다는 약속이며, 주식은 기업의 미래이익에 참여할 권리다. 보험은 불확실한 손실을 공동으로 부담하겠다는 약속이고, 파생상품은 미래가격을 오늘의 계약으로 바꾸는 약속이다. 화면에 찍힌 숫자가 가치를 갖는 까닭은 금속이나 종이의 성질 때문이 아니라 약속이 지켜질 것이라는 집단적 믿음 때문이다.</w:t>
      </w:r>
    </w:p>
    <w:p>
      <w:pPr>
        <w:pStyle w:val="aff3"/>
        <w:spacing w:line="259" w:lineRule="auto"/>
      </w:pPr>
      <w:r>
        <w:rPr>
          <w:rFonts w:ascii="KoPubWorld바탕체_Pro Light" w:hAnsi="KoPubWorld바탕체_Pro Light" w:eastAsia="KoPubWorld바탕체_Pro Light" w:cs="KoPubWorld바탕체_Pro Light"/>
          <w:sz w:val="16"/>
        </w:rPr>
        <w:t>그 믿음은 사적인 감정이 아니다. 계약법, 회사법, 회계기준, 지급결제 규칙, 중앙은행의 최종대부, 예금보험, 감독기관의 검사, 법원의 청산절차가 믿음의 바닥을 깐다. 그래서 금융규제는 이미 존재하는 자유로운 시장에 뒤늦게 들어온 울타리만이 아니다. 무엇을 은행이라 부를지, 누가 돈에 가까운 청구권을 발행할지, 어떤 정보를 공개해야 증권을 팔 수 있을지, 어떤 손실을 자본으로 먼저 흡수할지 정함으로써 시장 자체를 만든다.</w:t>
      </w:r>
    </w:p>
    <w:p>
      <w:pPr>
        <w:pStyle w:val="aff3"/>
        <w:spacing w:line="259" w:lineRule="auto"/>
      </w:pPr>
      <w:r>
        <w:rPr>
          <w:rFonts w:ascii="KoPubWorld바탕체_Pro Light" w:hAnsi="KoPubWorld바탕체_Pro Light" w:eastAsia="KoPubWorld바탕체_Pro Light" w:cs="KoPubWorld바탕체_Pro Light"/>
          <w:sz w:val="16"/>
        </w:rPr>
        <w:t>그러나 같은 규칙은 곧 새로운 경계를 만든다. 은행의 대출이 규제되면 신용은 은행 밖의 펀드와 특수목적기구로 이동한다. 예금에 금리상한이 생기면 더 높은 수익을 약속하는 상품이 자란다. 자기자본 규칙이 자산의 위험도를 분류하면 시장은 낮은 위험가중치를 얻는 구조를 설계한다. 증권의 정의가 좁으면 새 토큰은 자신이 증권이 아니라고 주장한다. 규제가 위험을 세는 순간, 금융은 그 셈법의 바깥을 찾는다. 이 책에서 반복되는 것은 규제와 완화의 단순한 진자가 아니라, 규칙이 시장을 만들고 시장이 경계를 우회하며 우회가 다시 규칙을 바꾸는 순환이다.</w:t>
      </w:r>
    </w:p>
    <w:p>
      <w:pPr>
        <w:pStyle w:val="aff3"/>
        <w:spacing w:line="259" w:lineRule="auto"/>
      </w:pPr>
      <w:r>
        <w:rPr>
          <w:rFonts w:ascii="KoPubWorld바탕체_Pro Light" w:hAnsi="KoPubWorld바탕체_Pro Light" w:eastAsia="KoPubWorld바탕체_Pro Light" w:cs="KoPubWorld바탕체_Pro Light"/>
          <w:sz w:val="16"/>
        </w:rPr>
        <w:t>금융규제는 누가 실패할 수 있는지를 정하는 정치이기도 하다. 유한책임은 주주의 손실을 출자액으로 제한하는 대신 채권자에게 더 큰 위험을 넘겼다. 예금보험은 예금자를 보호하는 대신 보험기금과 궁극적으로 공공의 부담을 만들었다. 중앙은행의 위기대출은 지급결제망을 지키지만 담보를 가진 기관과 그렇지 못한 기관을 가른다. 정리제도는 파산을 없애는 것이 아니라 손실의 순서를 정한다. 주주가 먼저 잃고, 후순위채권자가 뒤따르며, 예금자는 일정 한도까지 보호받는다는 순서는 자연법칙이 아니다. 수많은 위기와 정치적 협상의 결과다.</w:t>
      </w:r>
    </w:p>
    <w:p>
      <w:pPr>
        <w:pStyle w:val="aff3"/>
        <w:spacing w:line="259" w:lineRule="auto"/>
      </w:pPr>
      <w:r>
        <w:rPr>
          <w:rFonts w:ascii="KoPubWorld바탕체_Pro Light" w:hAnsi="KoPubWorld바탕체_Pro Light" w:eastAsia="KoPubWorld바탕체_Pro Light" w:cs="KoPubWorld바탕체_Pro Light"/>
          <w:sz w:val="16"/>
        </w:rPr>
        <w:t>따라서 금융규제사를 위기 뒤에 법이 생긴 연대기로만 쓰면 충분하지 않다. 1907년 공황이 연방준비제도를 낳고, 1929년 붕괴가 예금보험과 증권감독을 낳았으며, 2008년 위기가 Dodd-Frank와 Basel III를 낳았다는 문장은 맞지만 절반만 맞다. 새로운 법은 다음 시대의 금융구조를 바꾼다. 예금보험은 안전한 은행이라는 기대를 만들고, 자본규칙은 은행이 보유할 자산을 바꾸며, 중앙청산 의무는 파생상품 위험을 청산기관에 모은다. 규제의 성공은 위험을 지우기도 하지만 다른 장소에 집중시키기도 한다.</w:t>
      </w:r>
    </w:p>
    <w:p>
      <w:pPr>
        <w:pStyle w:val="aff3"/>
        <w:spacing w:line="259" w:lineRule="auto"/>
      </w:pPr>
      <w:r>
        <w:rPr>
          <w:rFonts w:ascii="KoPubWorld바탕체_Pro Light" w:hAnsi="KoPubWorld바탕체_Pro Light" w:eastAsia="KoPubWorld바탕체_Pro Light" w:cs="KoPubWorld바탕체_Pro Light"/>
          <w:sz w:val="16"/>
        </w:rPr>
        <w:t>이 책의 첫 부는 빚과 이자, 주화와 환어음, 공공은행과 주식회사를 따라간다. 초기 금융규제의 목적은 현대적 금융안정과 다르지만, 약속을 기록하고 이행의 한계를 정한다는 점에서는 오늘의 계약과 이어진다. 둘째 부는 공황이 중앙은행, 예금보험, 증권공시, 국제통화질서를 만드는 과정을 다룬다. 셋째 부는 금융세계화와 규제완화, 위험가중자산과 내부모형, 그림자금융, 1997년과 2008년의 위기, 거시건전성과 정리제도의 탄생을 추적한다.</w:t>
      </w:r>
    </w:p>
    <w:p>
      <w:pPr>
        <w:pStyle w:val="aff3"/>
        <w:spacing w:line="259" w:lineRule="auto"/>
      </w:pPr>
      <w:r>
        <w:rPr>
          <w:rFonts w:ascii="KoPubWorld바탕체_Pro Light" w:hAnsi="KoPubWorld바탕체_Pro Light" w:eastAsia="KoPubWorld바탕체_Pro Light" w:cs="KoPubWorld바탕체_Pro Light"/>
          <w:sz w:val="16"/>
        </w:rPr>
        <w:t>넷째 부는 한국의 경로를 별도로 본다. 조선의 환곡은 구휼의 장부가 재정과 수탈의 장부로 바뀔 수 있음을 보여준다. 개항기의 화폐개혁과 식민지 금융은 제도가 있다는 사실과 주권이 있다는 사실이 다를 수 있음을 드러낸다. 해방 뒤의 중앙은행과 개발금융은 신용을 산업정책의 도구로 사용했고, 1997년의 위기는 자유화의 속도와 감독의 속도가 어긋날 때 생기는 비용을 보여주었다. 오늘의 인터넷은행, 오픈뱅킹, 마이데이터는 법률뿐 아니라 표준 API와 보안심사가 시장을 만드는 규칙이 되었음을 말한다.</w:t>
      </w:r>
    </w:p>
    <w:p>
      <w:pPr>
        <w:pStyle w:val="aff3"/>
        <w:spacing w:line="259" w:lineRule="auto"/>
      </w:pPr>
      <w:r>
        <w:rPr>
          <w:rFonts w:ascii="KoPubWorld바탕체_Pro Light" w:hAnsi="KoPubWorld바탕체_Pro Light" w:eastAsia="KoPubWorld바탕체_Pro Light" w:cs="KoPubWorld바탕체_Pro Light"/>
          <w:sz w:val="16"/>
        </w:rPr>
        <w:t>마지막 부는 아직 결론이 나지 않은 경계를 다룬다. 가상자산은 지급수단인가 투자상품인가, 스테이블코인은 예금인가 펀드인가, 클라우드 사업자는 금융기반시설인가, AI 신용평가는 누구의 설명의무를 부담하는가. 이 질문에 대한 법은 2026년 7월 현재도 움직이고 있다. 그러므로 채택일과 시행일, 확정법과 검토안, 국제기준과 국내법을 구분했다. 미래를 예언하기보다 어떤 오래된 문제가 새 기술의 옷을 입고 돌아왔는지 보여주려 했다.</w:t>
      </w:r>
    </w:p>
    <w:p>
      <w:pPr>
        <w:pStyle w:val="aff3"/>
        <w:spacing w:line="259" w:lineRule="auto"/>
      </w:pPr>
      <w:r>
        <w:rPr>
          <w:rFonts w:ascii="KoPubWorld바탕체_Pro Light" w:hAnsi="KoPubWorld바탕체_Pro Light" w:eastAsia="KoPubWorld바탕체_Pro Light" w:cs="KoPubWorld바탕체_Pro Light"/>
          <w:sz w:val="16"/>
        </w:rPr>
        <w:t>작은 역사에서 ‘작은’은 사소하다는 뜻이 아니다. 큰 체제를 한 장의 계약서, 한 개의 창구, 한 줄의 자본비율, 한 번의 지급결제 마감, 한 화면의 출금 버튼에서 읽는 방법이다. 가까이 보면 숫자와 서명이 있고, 조금 물러서면 사회가 신뢰와 손실을 배분한 방식이 보인다. 금융규제의 역사는 돈을 다루는 기술의 역사이면서, 실패를 견디는 사회를 설계해 온 역사다.</w:t>
      </w:r>
    </w:p>
    <w:p>
      <w:r>
        <w:br w:type="page"/>
      </w:r>
    </w:p>
    <w:p>
      <w:pPr>
        <w:spacing w:before="440" w:after="0"/>
      </w:pPr>
    </w:p>
    <w:p>
      <w:pPr>
        <w:pStyle w:val="aff1"/>
        <w:jc w:val="center"/>
      </w:pPr>
      <w:r>
        <w:rPr>
          <w:rFonts w:ascii="KoPubWorld바탕체_Pro Bold" w:hAnsi="KoPubWorld바탕체_Pro Bold" w:eastAsia="KoPubWorld바탕체_Pro Bold" w:cs="KoPubWorld바탕체_Pro Bold"/>
          <w:b/>
          <w:sz w:val="28"/>
        </w:rPr>
        <w:t>이 책을 읽는 법</w:t>
      </w:r>
    </w:p>
    <w:p>
      <w:pPr>
        <w:spacing w:before="140" w:after="0"/>
      </w:pPr>
    </w:p>
    <w:p>
      <w:pPr>
        <w:pStyle w:val="aff3"/>
        <w:spacing w:line="259" w:lineRule="auto"/>
      </w:pPr>
      <w:r>
        <w:rPr>
          <w:rFonts w:ascii="KoPubWorld바탕체_Pro Light" w:hAnsi="KoPubWorld바탕체_Pro Light" w:eastAsia="KoPubWorld바탕체_Pro Light" w:cs="KoPubWorld바탕체_Pro Light"/>
          <w:sz w:val="16"/>
        </w:rPr>
        <w:t>이 책은 법률 해설서가 아니라 역사 교양서다. 특정 거래나 규제준수에 관한 법률·투자 자문을 제공하지 않는다. 2024년 이후의 법령과 국제기준은 2026년 7월 12일을 기준으로 채택, 발효, 적용, 국내 이행, 제안 단계를 구분했다. 출판 뒤 제도가 바뀔 수 있으므로 현재의 의무를 판단할 때는 최신 법령과 감독기관 자료를 다시 확인해야 한다.</w:t>
      </w:r>
    </w:p>
    <w:p>
      <w:pPr>
        <w:pStyle w:val="aff3"/>
        <w:spacing w:line="259" w:lineRule="auto"/>
      </w:pPr>
      <w:r>
        <w:rPr>
          <w:rFonts w:ascii="KoPubWorld바탕체_Pro Light" w:hAnsi="KoPubWorld바탕체_Pro Light" w:eastAsia="KoPubWorld바탕체_Pro Light" w:cs="KoPubWorld바탕체_Pro Light"/>
          <w:sz w:val="16"/>
        </w:rPr>
        <w:t>법령명과 기관명은 첫 등장에 원어 또는 공식 영문 약칭을 병기하고, 이후에는 읽기 쉬운 한국어 표현을 사용한다. 이 책에서 ‘Glass-Steagall’은 1933년 은행법 전체가 아니라 상업은행과 증권업의 분리에 관련된 조항들을 가리키는 관용적 명칭으로 쓴다. ‘Basel III 최종개혁’은 때때로 ‘Basel IV’로 불리지만, 국제결제은행 바젤위원회의 공식 명칭에 맞춰 ‘위기 이후 개혁의 최종화’로 표현한다. 국제기준은 곧바로 국내법이 되는 초국가 명령이 아니므로, 기준 발표와 각국 시행을 나누어 서술한다.</w:t>
      </w:r>
    </w:p>
    <w:p>
      <w:pPr>
        <w:pStyle w:val="aff3"/>
        <w:spacing w:line="259" w:lineRule="auto"/>
      </w:pPr>
      <w:r>
        <w:rPr>
          <w:rFonts w:ascii="KoPubWorld바탕체_Pro Light" w:hAnsi="KoPubWorld바탕체_Pro Light" w:eastAsia="KoPubWorld바탕체_Pro Light" w:cs="KoPubWorld바탕체_Pro Light"/>
          <w:sz w:val="16"/>
        </w:rPr>
        <w:t>금액과 비율은 역사적 맥락을 보여주기 위한 범위에서만 사용한다. 서로 다른 시대의 화폐를 오늘의 원화로 단순 환산하지 않는다. 사건의 원인에 학계와 정책기관의 견해가 갈리는 경우 한 원인으로 단정하지 않는다. 금융위기는 보통 금리, 레버리지, 만기불일치, 보상, 감독, 국제자본흐름, 정책과 기대가 겹쳐 만들어지기 때문이다.</w:t>
      </w:r>
    </w:p>
    <w:p>
      <w:pPr>
        <w:pStyle w:val="aff3"/>
        <w:spacing w:line="259" w:lineRule="auto"/>
      </w:pPr>
      <w:r>
        <w:rPr>
          <w:rFonts w:ascii="KoPubWorld바탕체_Pro Light" w:hAnsi="KoPubWorld바탕체_Pro Light" w:eastAsia="KoPubWorld바탕체_Pro Light" w:cs="KoPubWorld바탕체_Pro Light"/>
          <w:sz w:val="16"/>
        </w:rPr>
        <w:t>본문은 직접 인용보다 재서술을 원칙으로 삼았다. 짧은 사실과 날짜는 법령·정부기록·중앙은행·국제기구의 1차 자료를 우선 확인했고, 해석은 학술문헌과 공식 조사보고서를 교차 검토했다. 주와 참고문헌은 독자가 확인 경로를 찾도록 남겼다. 삽화는 역사적 장면을 이해하기 위한 창작 이미지이며 실제 인물·문서의 복제물이 아니다.</w:t>
      </w:r>
    </w:p>
    <w:p>
      <w:pPr>
        <w:pStyle w:val="aff3"/>
        <w:spacing w:line="259" w:lineRule="auto"/>
      </w:pPr>
      <w:r>
        <w:rPr>
          <w:rFonts w:ascii="KoPubWorld바탕체_Pro Light" w:hAnsi="KoPubWorld바탕체_Pro Light" w:eastAsia="KoPubWorld바탕체_Pro Light" w:cs="KoPubWorld바탕체_Pro Light"/>
          <w:sz w:val="16"/>
        </w:rPr>
        <w:t>이 책은 자료 조사, 원고 구조화, 이미지 초안, 교정과 파일 제작 과정에서 OpenAI Codex의 도움을 받았다. 사실의 선택과 해석, 최종 문장의 책임은 지은이에게 있다. AI가 생성한 문장은 공식 자료와 대조했고, 특정 출처의 표현을 길게 따라 쓰지 않도록 재작성했다.</w:t>
      </w:r>
    </w:p>
    <w:p>
      <w:r>
        <w:br w:type="page"/>
      </w:r>
    </w:p>
    <w:p>
      <w:pPr>
        <w:spacing w:before="1720" w:after="0"/>
      </w:pPr>
    </w:p>
    <w:p>
      <w:pPr>
        <w:pStyle w:val="aff9"/>
        <w:jc w:val="center"/>
      </w:pPr>
      <w:r>
        <w:rPr>
          <w:rFonts w:ascii="Noto Sans CJK KR" w:hAnsi="Noto Sans CJK KR" w:eastAsia="Noto Sans CJK KR" w:cs="Noto Sans CJK KR"/>
          <w:b/>
          <w:sz w:val="22"/>
        </w:rPr>
        <w:t>1부</w:t>
      </w:r>
    </w:p>
    <w:p>
      <w:pPr>
        <w:pStyle w:val="affa"/>
        <w:jc w:val="center"/>
      </w:pPr>
      <w:r>
        <w:rPr>
          <w:rFonts w:ascii="KoPubWorld바탕체_Pro Bold" w:hAnsi="KoPubWorld바탕체_Pro Bold" w:eastAsia="KoPubWorld바탕체_Pro Bold" w:cs="KoPubWorld바탕체_Pro Bold"/>
          <w:b/>
          <w:sz w:val="36"/>
        </w:rPr>
        <w:t>빚과 신뢰의 오래된 장치</w:t>
      </w:r>
    </w:p>
    <w:p>
      <w:pPr>
        <w:pStyle w:val="affb"/>
        <w:jc w:val="center"/>
      </w:pPr>
      <w:r>
        <w:rPr>
          <w:rFonts w:ascii="KoPubWorld바탕체_Pro Light" w:hAnsi="KoPubWorld바탕체_Pro Light" w:eastAsia="KoPubWorld바탕체_Pro Light" w:cs="KoPubWorld바탕체_Pro Light"/>
          <w:sz w:val="19"/>
        </w:rPr>
        <w:t>금융규제는 시장 바깥의 울타리이기 전에 신용·화폐·법인의 경계를 그어 시장을 만든 장치였다.</w:t>
      </w:r>
    </w:p>
    <w:p>
      <w:r>
        <w:br w:type="page"/>
      </w:r>
    </w:p>
    <w:p>
      <w:pPr>
        <w:spacing w:before="480" w:after="0"/>
      </w:pPr>
    </w:p>
    <w:p>
      <w:pPr>
        <w:keepNext/>
        <w:jc w:val="center"/>
      </w:pPr>
      <w:r>
        <w:drawing>
          <wp:inline xmlns:a="http://schemas.openxmlformats.org/drawingml/2006/main" xmlns:pic="http://schemas.openxmlformats.org/drawingml/2006/picture">
            <wp:extent cx="3941063" cy="2218026"/>
            <wp:docPr id="1" name="Picture 1" descr="빚과 신뢰의 오래된 장치" title="빚과 신뢰의 오래된 장치"/>
            <wp:cNvGraphicFramePr>
              <a:graphicFrameLocks noChangeAspect="1"/>
            </wp:cNvGraphicFramePr>
            <a:graphic>
              <a:graphicData uri="http://schemas.openxmlformats.org/drawingml/2006/picture">
                <pic:pic>
                  <pic:nvPicPr>
                    <pic:cNvPr id="0" name="part1_ledger_gray_q86.jpg"/>
                    <pic:cNvPicPr/>
                  </pic:nvPicPr>
                  <pic:blipFill>
                    <a:blip r:embed="rId41"/>
                    <a:stretch>
                      <a:fillRect/>
                    </a:stretch>
                  </pic:blipFill>
                  <pic:spPr>
                    <a:xfrm>
                      <a:off x="0" y="0"/>
                      <a:ext cx="3941063" cy="2218026"/>
                    </a:xfrm>
                    <a:prstGeom prst="rect"/>
                  </pic:spPr>
                </pic:pic>
              </a:graphicData>
            </a:graphic>
          </wp:inline>
        </w:drawing>
      </w:r>
    </w:p>
    <w:p>
      <w:pPr>
        <w:spacing w:before="140" w:after="0"/>
      </w:pPr>
    </w:p>
    <w:p>
      <w:pPr>
        <w:pStyle w:val="affb"/>
        <w:jc w:val="center"/>
      </w:pPr>
      <w:r>
        <w:rPr>
          <w:rFonts w:ascii="KoPubWorld바탕체_Pro Light" w:hAnsi="KoPubWorld바탕체_Pro Light" w:eastAsia="KoPubWorld바탕체_Pro Light" w:cs="KoPubWorld바탕체_Pro Light"/>
          <w:sz w:val="19"/>
        </w:rPr>
        <w:t>빚과 신뢰의 오래된 장치</w:t>
      </w:r>
    </w:p>
    <w:p>
      <w:r>
        <w:br w:type="page"/>
      </w:r>
    </w:p>
    <w:p>
      <w:pPr>
        <w:pStyle w:val="aff2"/>
        <w:spacing w:before="440"/>
        <w:jc w:val="center"/>
      </w:pPr>
      <w:r>
        <w:rPr>
          <w:rFonts w:ascii="KoPubWorld바탕체_Pro Bold" w:hAnsi="KoPubWorld바탕체_Pro Bold" w:eastAsia="KoPubWorld바탕체_Pro Bold" w:cs="KoPubWorld바탕체_Pro Bold"/>
          <w:b/>
          <w:sz w:val="24"/>
        </w:rPr>
        <w:t>Chapter. 01</w:t>
      </w:r>
    </w:p>
    <w:p>
      <w:pPr>
        <w:pStyle w:val="aff1"/>
        <w:jc w:val="center"/>
      </w:pPr>
      <w:r>
        <w:rPr>
          <w:rFonts w:ascii="KoPubWorld바탕체_Pro Bold" w:hAnsi="KoPubWorld바탕체_Pro Bold" w:eastAsia="KoPubWorld바탕체_Pro Bold" w:cs="KoPubWorld바탕체_Pro Bold"/>
          <w:b/>
          <w:sz w:val="28"/>
        </w:rPr>
        <w:t>빚이 법을 낳다 — 메소포타미아의 이자와 채무구제</w:t>
      </w:r>
    </w:p>
    <w:p>
      <w:pPr>
        <w:spacing w:before="60" w:after="0"/>
      </w:pPr>
    </w:p>
    <w:p>
      <w:pPr>
        <w:keepNext/>
        <w:jc w:val="center"/>
      </w:pPr>
      <w:r>
        <w:drawing>
          <wp:inline xmlns:a="http://schemas.openxmlformats.org/drawingml/2006/main" xmlns:pic="http://schemas.openxmlformats.org/drawingml/2006/picture">
            <wp:extent cx="3941063" cy="2218026"/>
            <wp:docPr id="2" name="Picture 2" descr="메소포타미아의 채무서판. 빚의 기록은 시장의 기억이면서 생존의 한계를 정하는 통치 장치였다." title="메소포타미아의 채무서판. 빚의 기록은 시장의 기억이면서 생존의 한계를 정하는 통치 장치였다."/>
            <wp:cNvGraphicFramePr>
              <a:graphicFrameLocks noChangeAspect="1"/>
            </wp:cNvGraphicFramePr>
            <a:graphic>
              <a:graphicData uri="http://schemas.openxmlformats.org/drawingml/2006/picture">
                <pic:pic>
                  <pic:nvPicPr>
                    <pic:cNvPr id="0" name="part1_ledger_gray_q86.jpg"/>
                    <pic:cNvPicPr/>
                  </pic:nvPicPr>
                  <pic:blipFill>
                    <a:blip r:embed="rId41"/>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1. 메소포타미아의 채무서판. 빚의 기록은 시장의 기억이면서 생존의 한계를 정하는 통치 장치였다.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수확을 앞둔 어느 날, 강물이 밭을 덮쳤다고 하자. 씨앗을 빌릴 때만 해도 농부는 가을의 보리를 떠올렸을 것이다. 그러나 물이 빠진 뒤 남은 것은 진흙과 빚뿐이다. 채권자는 약속된 곡물과 이자를 요구한다. 농부에게는 넘겨줄 곡식이 없고, 가족과 토지와 노동력만 남아 있다. 이때 채무를 끝까지 받아 내는 것이 정의일까. 아니면 한 해의 지급을 멈추게 하는 것이 더 큰 질서를 지키는 길일까.</w:t>
      </w:r>
    </w:p>
    <w:p>
      <w:pPr>
        <w:pStyle w:val="aff3"/>
        <w:spacing w:line="259" w:lineRule="auto"/>
      </w:pPr>
      <w:r>
        <w:rPr>
          <w:rFonts w:ascii="KoPubWorld바탕체_Pro Light" w:hAnsi="KoPubWorld바탕체_Pro Light" w:eastAsia="KoPubWorld바탕체_Pro Light" w:cs="KoPubWorld바탕체_Pro Light"/>
          <w:sz w:val="16"/>
        </w:rPr>
        <w:t>약 3,700년 전 바빌로니아의 통치자는 이런 질문을 돌기둥에 새겼다. 오늘날 ‘함무라비 법전’이라 부르는 비석에는 282개의 법명제가 기록되어 있다. 비석은 기원전 1750년 무렵의 것으로 추정되지만, 현대의 의회가 만든 체계적인 법전과 꼭 같은 물건은 아니다. 판결의 모범, 왕의 정의에 대한 선언, 여러 지역의 관행을 모은 기록이 한데 겹쳐 있다.</w:t>
      </w:r>
      <w:r>
        <w:rPr>
          <w:rFonts w:ascii="KoPubWorld바탕체_Pro Light" w:hAnsi="KoPubWorld바탕체_Pro Light" w:eastAsia="KoPubWorld바탕체_Pro Light" w:cs="KoPubWorld바탕체_Pro Light"/>
          <w:sz w:val="14"/>
          <w:vertAlign w:val="superscript"/>
        </w:rPr>
        <w:t>2</w:t>
      </w:r>
      <w:r>
        <w:rPr>
          <w:rFonts w:ascii="KoPubWorld바탕체_Pro Light" w:hAnsi="KoPubWorld바탕체_Pro Light" w:eastAsia="KoPubWorld바탕체_Pro Light" w:cs="KoPubWorld바탕체_Pro Light"/>
          <w:sz w:val="16"/>
        </w:rPr>
        <w:t xml:space="preserve"> 그럼에도 그 안에서 우리는 금융규제의 오래된 핵심을 만난다. 약속은 지켜져야 한다. 그러나 약속을 그대로 집행하면 공동체가 무너지는 순간에는, 법이 약속의 속도를 늦춘다.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장부보다 먼저 있었던 신용</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화폐가 충분히 주조되기 전에도 신용은 있었다. 메소포타미아의 사람들은 보리와 은을 가치의 기준으로 삼고, 점토판 위에 채무액과 지급일, 보증인과 증인을 남겼다. 실제로 남아 있는 신아시리아 시대의 한 채무서판은 은을 빌리고 통상적인 이자로 20퍼센트를 약정한 거래를 보여 준다.</w:t>
      </w:r>
      <w:r>
        <w:rPr>
          <w:rFonts w:ascii="KoPubWorld바탕체_Pro Light" w:hAnsi="KoPubWorld바탕체_Pro Light" w:eastAsia="KoPubWorld바탕체_Pro Light" w:cs="KoPubWorld바탕체_Pro Light"/>
          <w:sz w:val="14"/>
          <w:vertAlign w:val="superscript"/>
        </w:rPr>
        <w:t>3</w:t>
      </w:r>
      <w:r>
        <w:rPr>
          <w:rFonts w:ascii="KoPubWorld바탕체_Pro Light" w:hAnsi="KoPubWorld바탕체_Pro Light" w:eastAsia="KoPubWorld바탕체_Pro Light" w:cs="KoPubWorld바탕체_Pro Light"/>
          <w:sz w:val="16"/>
        </w:rPr>
        <w:t xml:space="preserve"> 여기서 중요한 것은 동전의 존재가 아니다. 미래의 생산물을 오늘의 구매력으로 바꾸고, 그 약속을 누가 기억하며 강제할 것인가가 중요하다.</w:t>
      </w:r>
    </w:p>
    <w:p>
      <w:pPr>
        <w:pStyle w:val="aff3"/>
        <w:spacing w:line="259" w:lineRule="auto"/>
      </w:pPr>
      <w:r>
        <w:rPr>
          <w:rFonts w:ascii="KoPubWorld바탕체_Pro Light" w:hAnsi="KoPubWorld바탕체_Pro Light" w:eastAsia="KoPubWorld바탕체_Pro Light" w:cs="KoPubWorld바탕체_Pro Light"/>
          <w:sz w:val="16"/>
        </w:rPr>
        <w:t>점토판은 작았지만 그 안에 들어간 제도는 작지 않았다. 서기는 말로 한 약속을 표준적인 문구로 바꾸었다. 증인은 사적인 분쟁을 공동체가 확인할 수 있는 사건으로 만들었다. 인장과 봉인은 문서가 바뀌지 않았다는 표지였다. 오늘의 대출계약서, 신용정보, 공증과 담보등기의 먼 조상에 해당하는 기능이 이미 나타난 셈이다. 금융시장은 법이 완성된 뒤에 생긴 것이 아니라, 거래를 기록하고 입증하는 기술과 함께 생겨났다.</w:t>
      </w:r>
    </w:p>
    <w:p>
      <w:pPr>
        <w:pStyle w:val="aff3"/>
        <w:spacing w:line="259" w:lineRule="auto"/>
      </w:pPr>
      <w:r>
        <w:rPr>
          <w:rFonts w:ascii="KoPubWorld바탕체_Pro Light" w:hAnsi="KoPubWorld바탕체_Pro Light" w:eastAsia="KoPubWorld바탕체_Pro Light" w:cs="KoPubWorld바탕체_Pro Light"/>
          <w:sz w:val="16"/>
        </w:rPr>
        <w:t>그러나 기록은 언제나 힘의 차이를 없애 주지는 않았다. 글을 읽고 쓸 수 있는 사람은 적었고, 대부를 하는 사원·궁정·상인은 채무자보다 장부에 가까이 있었다. 계약이 정교해질수록 채무를 둘러싼 권리도 선명해졌지만, 채무자의 실패 역시 더 정확히 포착되었다. 규제는 바로 이 두 얼굴 사이에서 시작되었다. 채권을 확실하게 만들어 더 많은 대출을 가능하게 하면서도, 집행이 생산자와 조세 기반을 통째로 삼키지 못하게 해야 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이자는 탐욕이 아니라 시간의 가격이었는가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고대의 대부는 오늘날 은행이 예금을 받아 다시 빌려 주는 형태와 달랐다. 씨앗, 생계 곡물, 세금 납부에 쓸 은, 원거리 거래의 운전자금이 한데 섞여 있었다. 농업대출은 수확의 불확실성을 품었고, 상업대출은 여행과 도난과 가격변동의 위험을 품었다. 이자는 단순한 탐욕의 표지가 아니었다. 기다림과 위험, 관리비용을 보상하는 가격이기도 했다. 동시에 생존을 위해 빌린 사람에게 복리처럼 쌓이는 의무는 곧 신분의 추락을 뜻할 수 있었다.</w:t>
      </w:r>
    </w:p>
    <w:p>
      <w:pPr>
        <w:pStyle w:val="aff3"/>
        <w:spacing w:line="259" w:lineRule="auto"/>
      </w:pPr>
      <w:r>
        <w:rPr>
          <w:rFonts w:ascii="KoPubWorld바탕체_Pro Light" w:hAnsi="KoPubWorld바탕체_Pro Light" w:eastAsia="KoPubWorld바탕체_Pro Light" w:cs="KoPubWorld바탕체_Pro Light"/>
          <w:sz w:val="16"/>
        </w:rPr>
        <w:t>함무라비 비석의 여러 조항은 이자를 없애기보다 계산과 집행의 경계를 그었다. 곡물이나 은을 빌려 준 사람이 허용된 몫을 넘어 이자를 챙기는 경우, 영수 없이 수확물을 가져가는 경우, 상환 사실을 부인하는 경우를 다룬다.</w:t>
      </w:r>
      <w:r>
        <w:rPr>
          <w:rFonts w:ascii="KoPubWorld바탕체_Pro Light" w:hAnsi="KoPubWorld바탕체_Pro Light" w:eastAsia="KoPubWorld바탕체_Pro Light" w:cs="KoPubWorld바탕체_Pro Light"/>
          <w:sz w:val="14"/>
          <w:vertAlign w:val="superscript"/>
        </w:rPr>
        <w:t>4</w:t>
      </w:r>
      <w:r>
        <w:rPr>
          <w:rFonts w:ascii="KoPubWorld바탕체_Pro Light" w:hAnsi="KoPubWorld바탕체_Pro Light" w:eastAsia="KoPubWorld바탕체_Pro Light" w:cs="KoPubWorld바탕체_Pro Light"/>
          <w:sz w:val="16"/>
        </w:rPr>
        <w:t xml:space="preserve"> 이는 고대 국가가 ‘이자냐 무이자냐’만을 고민하지 않았음을 보여 준다. 측정 단위, 영수증, 대리인, 담보, 손실의 귀속이 모두 규제의 대상이었다. 가격 규제와 행위 규제와 분쟁 해결이 아직 분리되지 않은 채 한 문서 안에 들어 있었다.</w:t>
      </w:r>
    </w:p>
    <w:p>
      <w:pPr>
        <w:pStyle w:val="aff3"/>
        <w:spacing w:line="259" w:lineRule="auto"/>
      </w:pPr>
      <w:r>
        <w:rPr>
          <w:rFonts w:ascii="KoPubWorld바탕체_Pro Light" w:hAnsi="KoPubWorld바탕체_Pro Light" w:eastAsia="KoPubWorld바탕체_Pro Light" w:cs="KoPubWorld바탕체_Pro Light"/>
          <w:sz w:val="16"/>
        </w:rPr>
        <w:t>여기에는 경제적 이유도 있었다. 이자를 전면 금지하면 흉년에 씨앗을 빌려줄 사람도 줄어든다. 반대로 어떤 조건도 두지 않으면 채권자는 토지와 노동력을 흡수하고, 왕은 병사와 납세자를 잃는다. 고대의 규칙은 자비와 효율 중 하나를 선택한 결과라기보다, 신용의 공급과 공동체의 재생산을 동시에 붙들려는 불완전한 절충이었다.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법 48조, 자연재해가 계약에 들어오다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가장 인상적인 대목은 흔히 법 48조로 불리는 규정이다. 빚을 진 사람의 밭이 폭풍이나 홍수로 망가지거나 물 부족으로 곡식이 자라지 않으면, 그는 그해 채권자에게 곡물을 지급하지 않고 이자도 치르지 않는다.</w:t>
      </w:r>
      <w:r>
        <w:rPr>
          <w:rFonts w:ascii="KoPubWorld바탕체_Pro Light" w:hAnsi="KoPubWorld바탕체_Pro Light" w:eastAsia="KoPubWorld바탕체_Pro Light" w:cs="KoPubWorld바탕체_Pro Light"/>
          <w:sz w:val="14"/>
          <w:vertAlign w:val="superscript"/>
        </w:rPr>
        <w:t>4</w:t>
      </w:r>
      <w:r>
        <w:rPr>
          <w:rFonts w:ascii="KoPubWorld바탕체_Pro Light" w:hAnsi="KoPubWorld바탕체_Pro Light" w:eastAsia="KoPubWorld바탕체_Pro Light" w:cs="KoPubWorld바탕체_Pro Light"/>
          <w:sz w:val="16"/>
        </w:rPr>
        <w:t xml:space="preserve"> 이것은 모든 빚을 없애는 일반 사면이 아니다. 재해가 발생한 해의 채무상환을 멈추어 생산자가 다음 농사를 지을 여지를 남기는 장치에 가깝다.</w:t>
      </w:r>
    </w:p>
    <w:p>
      <w:pPr>
        <w:pStyle w:val="aff3"/>
        <w:spacing w:line="259" w:lineRule="auto"/>
      </w:pPr>
      <w:r>
        <w:rPr>
          <w:rFonts w:ascii="KoPubWorld바탕체_Pro Light" w:hAnsi="KoPubWorld바탕체_Pro Light" w:eastAsia="KoPubWorld바탕체_Pro Light" w:cs="KoPubWorld바탕체_Pro Light"/>
          <w:sz w:val="16"/>
        </w:rPr>
        <w:t>이 한 조항은 계약의 실패 원인을 구별한다. 갚을 능력이 있는데 숨기는 사람과, 자연재해 때문에 갚을 수 없는 사람을 똑같이 다루지 않는다. 오늘날의 불가항력, 채무조정, 재난대출 만기연장과 정확히 같은 제도는 아니지만, 위험을 오직 채무자에게만 떠넘기지 않는 사고가 분명히 보인다. 계약은 두 사람의 사적인 약속이지만, 수해가 지역 전체를 덮으면 집행의 결과는 공적인 문제가 된다.</w:t>
      </w:r>
    </w:p>
    <w:p>
      <w:pPr>
        <w:pStyle w:val="aff3"/>
        <w:spacing w:line="259" w:lineRule="auto"/>
      </w:pPr>
      <w:r>
        <w:rPr>
          <w:rFonts w:ascii="KoPubWorld바탕체_Pro Light" w:hAnsi="KoPubWorld바탕체_Pro Light" w:eastAsia="KoPubWorld바탕체_Pro Light" w:cs="KoPubWorld바탕체_Pro Light"/>
          <w:sz w:val="16"/>
        </w:rPr>
        <w:t>채권자의 입장에서는 손실이다. 그는 곡식이나 은을 먼저 내주었고 재해를 일으키지 않았다. 그런데 법이 상환을 늦추면 위험의 일부가 채권자에게 이동한다. 바로 이 지점에서 금융규제의 본질이 드러난다. 규제는 손실을 없애지 않는다. 손실이 발생했을 때 누가 먼저, 얼마나, 언제 부담할지를 바꾼다. 한 해의 이자를 포기하게 하는 대신 채무자의 토지와 노동력을 보존한다면, 장기적으로 채권 회수와 국가의 세수에도 도움이 될 수 있다. 그러나 그 효과가 보장되는 것은 아니다. 대부자는 다음번에 더 높은 이자를 요구하거나 아예 가난한 농부를 피할 수도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몸이 담보가 되는 순간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빚을 갚지 못한 사람에게 남은 마지막 자산은 자신의 노동과 가족의 노동이었다. 함무라비 비석의 채무 관련 조항은 채무 때문에 배우자나 자녀가 다른 집에서 일하는 상황, 채권자 집에 맡겨진 사람이 죽거나 학대받는 상황을 다룬다. 특히 일정 기간이 지난 뒤 자유를 회복시키는 규정은 채무집행에 끝을 두려는 시도로 읽을 수 있다.</w:t>
      </w:r>
      <w:r>
        <w:rPr>
          <w:rFonts w:ascii="KoPubWorld바탕체_Pro Light" w:hAnsi="KoPubWorld바탕체_Pro Light" w:eastAsia="KoPubWorld바탕체_Pro Light" w:cs="KoPubWorld바탕체_Pro Light"/>
          <w:sz w:val="14"/>
          <w:vertAlign w:val="superscript"/>
        </w:rPr>
        <w:t>4</w:t>
      </w:r>
      <w:r>
        <w:rPr>
          <w:rFonts w:ascii="KoPubWorld바탕체_Pro Light" w:hAnsi="KoPubWorld바탕체_Pro Light" w:eastAsia="KoPubWorld바탕체_Pro Light" w:cs="KoPubWorld바탕체_Pro Light"/>
          <w:sz w:val="16"/>
        </w:rPr>
        <w:t xml:space="preserve"> 다만 이를 현대적 인권보장과 같은 수준으로 미화해서는 안 된다. 신분에 따른 형벌과 보상의 차이는 뚜렷했고, 노예제 자체를 부정하지도 않았다.</w:t>
      </w:r>
    </w:p>
    <w:p>
      <w:pPr>
        <w:pStyle w:val="aff3"/>
        <w:spacing w:line="259" w:lineRule="auto"/>
      </w:pPr>
      <w:r>
        <w:rPr>
          <w:rFonts w:ascii="KoPubWorld바탕체_Pro Light" w:hAnsi="KoPubWorld바탕체_Pro Light" w:eastAsia="KoPubWorld바탕체_Pro Light" w:cs="KoPubWorld바탕체_Pro Light"/>
          <w:sz w:val="16"/>
        </w:rPr>
        <w:t>그럼에도 ‘끝이 있는 채무’라는 관념은 중요하다. 빚이 영원히 사람을 따라가고 자녀에게까지 전가되면, 신용은 거래의 장치가 아니라 지배의 장치가 된다. 채무자의 몸과 가족을 어디까지 집행 대상으로 삼을 수 있는지 정하는 순간, 금융법은 재산법을 넘어 사회의 구성원을 정의한다. 오늘날 개인파산과 면책을 둘러싼 논쟁도 이 오래된 질문에서 멀리 떨어져 있지 않다. 성실하지만 불운한 채무자에게 새 출발을 허용하면 위험한 대출을 조장하는가, 아니면 경제활동으로 돌아올 기회를 주는가.</w:t>
      </w:r>
    </w:p>
    <w:p>
      <w:pPr>
        <w:pStyle w:val="aff3"/>
        <w:spacing w:line="259" w:lineRule="auto"/>
      </w:pPr>
      <w:r>
        <w:rPr>
          <w:rFonts w:ascii="KoPubWorld바탕체_Pro Light" w:hAnsi="KoPubWorld바탕체_Pro Light" w:eastAsia="KoPubWorld바탕체_Pro Light" w:cs="KoPubWorld바탕체_Pro Light"/>
          <w:sz w:val="16"/>
        </w:rPr>
        <w:t>왕의 채무구제 역시 순수한 선행으로만 볼 수 없다. 채무노동이 늘면 궁정과 사원이 필요로 하는 군역·노역·세원이 사적인 채권자에게 옮겨 간다. 통치자는 약자를 보호한다는 명분과 자신의 권력 기반을 지킨다는 이해를 동시에 가졌다. 규제의 공익과 국가의 자기보존은 처음부터 얽혀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왕의 정의와 채권자의 계산</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비석의 윗부분에는 태양과 정의의 신 샤마시 앞에 선 함무라비가 새겨져 있다. 이 도상은 법의 내용만큼 중요하다. 거래 당사자의 인장만으로는 해결할 수 없는 분쟁에 왕의 권위가 개입하며, 왕은 강자가 약자를 해치지 못하게 한다는 자신의 통치목표를 선언한다.</w:t>
      </w:r>
      <w:r>
        <w:rPr>
          <w:rFonts w:ascii="KoPubWorld바탕체_Pro Light" w:hAnsi="KoPubWorld바탕체_Pro Light" w:eastAsia="KoPubWorld바탕체_Pro Light" w:cs="KoPubWorld바탕체_Pro Light"/>
          <w:sz w:val="14"/>
          <w:vertAlign w:val="superscript"/>
        </w:rPr>
        <w:t>2</w:t>
      </w:r>
      <w:r>
        <w:rPr>
          <w:rFonts w:ascii="KoPubWorld바탕체_Pro Light" w:hAnsi="KoPubWorld바탕체_Pro Light" w:eastAsia="KoPubWorld바탕체_Pro Light" w:cs="KoPubWorld바탕체_Pro Light"/>
          <w:sz w:val="16"/>
        </w:rPr>
        <w:t xml:space="preserve"> 법은 사적인 약속을 강제하는 기술이면서, 누가 마지막 해석자인지를 보여 주는 정치의 무대였다.</w:t>
      </w:r>
    </w:p>
    <w:p>
      <w:pPr>
        <w:pStyle w:val="aff3"/>
        <w:spacing w:line="259" w:lineRule="auto"/>
      </w:pPr>
      <w:r>
        <w:rPr>
          <w:rFonts w:ascii="KoPubWorld바탕체_Pro Light" w:hAnsi="KoPubWorld바탕체_Pro Light" w:eastAsia="KoPubWorld바탕체_Pro Light" w:cs="KoPubWorld바탕체_Pro Light"/>
          <w:sz w:val="16"/>
        </w:rPr>
        <w:t>그렇다고 왕과 시장을 서로 반대편에 놓을 수는 없다. 채권자가 법정에서 권리를 인정받지 못한다면 미래의 대부는 줄어든다. 채무자가 재해와 사기로부터 아무런 보호도 받지 못한다면 사람들은 신용거래를 피하거나, 빚을 갚기 위해 생산기반을 팔아 버린다. 예측 가능한 집행과 제한된 구제는 같은 제도의 두 부분이었다. 법은 채권을 약하게 만들기 위해서가 아니라, 채권이 공동체를 파괴하지 않으면서 반복될 수 있도록 만들기 위해 개입했다.</w:t>
      </w:r>
    </w:p>
    <w:p>
      <w:pPr>
        <w:pStyle w:val="aff3"/>
        <w:spacing w:line="259" w:lineRule="auto"/>
      </w:pPr>
      <w:r>
        <w:rPr>
          <w:rFonts w:ascii="KoPubWorld바탕체_Pro Light" w:hAnsi="KoPubWorld바탕체_Pro Light" w:eastAsia="KoPubWorld바탕체_Pro Light" w:cs="KoPubWorld바탕체_Pro Light"/>
          <w:sz w:val="16"/>
        </w:rPr>
        <w:t>여기서 최초의 ‘건전성 규제’와 비슷한 생각도 읽을 수 있다. 개별 채권자에게는 더 많이 회수하는 것이 합리적일 수 있지만, 모두가 동시에 토지와 곡물을 가져가면 다음 해의 생산과 조세가 줄어든다. 각자의 합리성이 전체의 취약성을 키우는 문제다. 물론 고대 바빌로니아인이 오늘날의 시스템위험이라는 말을 쓴 것은 아니다. 다만 법 48조가 개인계약의 외부효과를 통치의 문제로 바꾸었다는 점은 분명하다.</w:t>
      </w:r>
      <w:r>
        <w:rPr>
          <w:rFonts w:ascii="KoPubWorld바탕체_Pro Light" w:hAnsi="KoPubWorld바탕체_Pro Light" w:eastAsia="KoPubWorld바탕체_Pro Light" w:cs="KoPubWorld바탕체_Pro Light"/>
          <w:sz w:val="14"/>
          <w:vertAlign w:val="superscript"/>
        </w:rPr>
        <w:t>4</w:t>
      </w:r>
    </w:p>
    <w:p>
      <w:pPr>
        <w:pStyle w:val="aff3"/>
        <w:spacing w:line="259" w:lineRule="auto"/>
      </w:pPr>
      <w:r>
        <w:rPr>
          <w:rFonts w:ascii="KoPubWorld바탕체_Pro Light" w:hAnsi="KoPubWorld바탕체_Pro Light" w:eastAsia="KoPubWorld바탕체_Pro Light" w:cs="KoPubWorld바탕체_Pro Light"/>
          <w:sz w:val="16"/>
        </w:rPr>
        <w:t>채무구제는 기대에도 영향을 준다. 재해 때마다 상환이 자동으로 사라진다고 믿으면 대부자는 처음부터 가격을 높이고 담보를 더 요구할 수 있다. 구제가 전혀 없다고 믿으면 채무자는 작은 충격에도 몰락한다. 따라서 구제의 조건을 누가 확인하고, 재해와 무능 또는 사기를 어떻게 구별하는지가 중요해진다. 금융규제는 처음부터 규칙의 문구만이 아니라 사실을 조사하고 판정할 행정능력을 필요로 했다.</w:t>
      </w:r>
    </w:p>
    <w:p>
      <w:pPr>
        <w:pStyle w:val="aff3"/>
        <w:spacing w:line="259" w:lineRule="auto"/>
      </w:pPr>
      <w:r>
        <w:rPr>
          <w:rFonts w:ascii="KoPubWorld바탕체_Pro Light" w:hAnsi="KoPubWorld바탕체_Pro Light" w:eastAsia="KoPubWorld바탕체_Pro Light" w:cs="KoPubWorld바탕체_Pro Light"/>
          <w:sz w:val="16"/>
        </w:rPr>
        <w:t>점토판은 이 문제를 완전히 해결하지 못했다. 증인도 매수될 수 있고, 측량도 틀릴 수 있으며, 지방의 권력관계가 재판을 좌우할 수 있었다. 기록이 있다는 사실과 기록이 공정하다는 사실은 다르다. 오늘날 대출데이터와 신용평가가 정교해져도 같은 차이가 남는다. 정보가 많아질수록 판단이 자동으로 정의로워지는 것은 아니다.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‘최초의 소비자보호법’이라는 유혹</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함무라비 비석 앞에서 우리는 역사를 현재의 언어로 너무 빨리 번역하고 싶어진다. 법 48조를 최초의 재난 채무조정법이라 부르고, 이자 관련 조항을 최초의 대부업법이라 부르면 이야기는 간단해진다. 하지만 그 비석은 모든 바빌로니아인이 손에 들고 권리를 주장한 법률책이 아니었다. 실제 재판에서 각 조항이 얼마나 일관되게 적용되었는지, 지역과 시대에 따라 관행이 어떻게 달랐는지는 별개의 문제다. 루브르박물관도 이 유물을 단순한 현대적 법전이라기보다 왕의 법적 판단과 정의의 표상을 담은 기념비로 설명한다.</w:t>
      </w:r>
      <w:r>
        <w:rPr>
          <w:rFonts w:ascii="KoPubWorld바탕체_Pro Light" w:hAnsi="KoPubWorld바탕체_Pro Light" w:eastAsia="KoPubWorld바탕체_Pro Light" w:cs="KoPubWorld바탕체_Pro Light"/>
          <w:sz w:val="14"/>
          <w:vertAlign w:val="superscript"/>
        </w:rPr>
        <w:t>2</w:t>
      </w:r>
    </w:p>
    <w:p>
      <w:pPr>
        <w:pStyle w:val="aff3"/>
        <w:spacing w:line="259" w:lineRule="auto"/>
      </w:pPr>
      <w:r>
        <w:rPr>
          <w:rFonts w:ascii="KoPubWorld바탕체_Pro Light" w:hAnsi="KoPubWorld바탕체_Pro Light" w:eastAsia="KoPubWorld바탕체_Pro Light" w:cs="KoPubWorld바탕체_Pro Light"/>
          <w:sz w:val="16"/>
        </w:rPr>
        <w:t>또한 고대의 이자와 오늘의 연이율을 곧바로 비교할 수도 없다. 상환 단위와 기간, 현물의 품질, 수확주기, 위험구조가 다르다. 점토판에 적힌 20퍼센트라는 수치가 오늘의 신용대출 20퍼센트와 같은 부담을 뜻하는 것은 아니다.</w:t>
      </w:r>
      <w:r>
        <w:rPr>
          <w:rFonts w:ascii="KoPubWorld바탕체_Pro Light" w:hAnsi="KoPubWorld바탕체_Pro Light" w:eastAsia="KoPubWorld바탕체_Pro Light" w:cs="KoPubWorld바탕체_Pro Light"/>
          <w:sz w:val="14"/>
          <w:vertAlign w:val="superscript"/>
        </w:rPr>
        <w:t>3</w:t>
      </w:r>
      <w:r>
        <w:rPr>
          <w:rFonts w:ascii="KoPubWorld바탕체_Pro Light" w:hAnsi="KoPubWorld바탕체_Pro Light" w:eastAsia="KoPubWorld바탕체_Pro Light" w:cs="KoPubWorld바탕체_Pro Light"/>
          <w:sz w:val="16"/>
        </w:rPr>
        <w:t xml:space="preserve"> 숫자는 맥락을 지울 때 가장 쉽게 오해를 만든다.</w:t>
      </w:r>
    </w:p>
    <w:p>
      <w:pPr>
        <w:pStyle w:val="aff3"/>
        <w:spacing w:line="259" w:lineRule="auto"/>
      </w:pPr>
      <w:r>
        <w:rPr>
          <w:rFonts w:ascii="KoPubWorld바탕체_Pro Light" w:hAnsi="KoPubWorld바탕체_Pro Light" w:eastAsia="KoPubWorld바탕체_Pro Light" w:cs="KoPubWorld바탕체_Pro Light"/>
          <w:sz w:val="16"/>
        </w:rPr>
        <w:t>그러나 시대 차이를 인정한다고 해서 연결이 사라지는 것은 아니다. 오히려 더 선명한 공통점이 남는다. 신용은 미래를 현재로 가져오지만, 미래는 약속대로 오지 않는다. 풍년과 흉년, 성실과 사기, 개인의 실패와 공동의 재난을 구별하지 못하는 계약은 오래 지속되기 어렵다. 그래서 법은 채권을 강하게 만드는 동시에 예외를 만든다.</w:t>
      </w:r>
    </w:p>
    <w:p>
      <w:pPr>
        <w:pStyle w:val="aff3"/>
        <w:spacing w:line="259" w:lineRule="auto"/>
      </w:pPr>
      <w:r>
        <w:rPr>
          <w:rFonts w:ascii="KoPubWorld바탕체_Pro Light" w:hAnsi="KoPubWorld바탕체_Pro Light" w:eastAsia="KoPubWorld바탕체_Pro Light" w:cs="KoPubWorld바탕체_Pro Light"/>
          <w:sz w:val="16"/>
        </w:rPr>
        <w:t>그 예외는 언제나 논쟁을 부른다. 채무자는 구제를 권리로 보고, 채권자는 약속의 변경으로 본다. 통치자는 사회안정을 말하지만 자신의 세원과 군사력을 계산한다. 어느 설명도 완전히 틀리지 않다. 규제의 역사를 읽는 일은 선의의 보호자와 악의의 채권자를 가르는 일이 아니라, 한 규칙이 서로 다른 이해를 어떻게 묶어 두었는지 살피는 일이다.</w:t>
      </w:r>
    </w:p>
    <w:p>
      <w:pPr>
        <w:pStyle w:val="aff3"/>
        <w:spacing w:line="259" w:lineRule="auto"/>
      </w:pPr>
      <w:r>
        <w:rPr>
          <w:rFonts w:ascii="KoPubWorld바탕체_Pro Light" w:hAnsi="KoPubWorld바탕체_Pro Light" w:eastAsia="KoPubWorld바탕체_Pro Light" w:cs="KoPubWorld바탕체_Pro Light"/>
          <w:sz w:val="16"/>
        </w:rPr>
        <w:t>금융규제의 첫 장면은 은행 건물이나 주식시장이 아니다. 물에 잠긴 밭과 마르지 않은 점토판이다. 그곳에서 법은 “빚은 갚아야 한다”와 “모든 빚을 오늘 다 받으면 내일의 생산이 사라진다” 사이에 선을 그었다. 그 선은 한 번도 고정되지 않았다. 이후의 금융사는 그 위치를 옮기는 역사다. 손실을 채무자에게 둘 것인가, 채권자에게 나눌 것인가, 국가가 흡수할 것인가. 가장 오래된 금융규제는 이 질문에 최종 답을 주지 않았다. 다만 시장이 존재하려면 답을 미룰 수 없다는 사실을 남겼다.</w:t>
      </w:r>
    </w:p>
    <w:p>
      <w:pPr>
        <w:pStyle w:val="aff2"/>
        <w:pageBreakBefore/>
        <w:spacing w:before="440"/>
        <w:jc w:val="center"/>
      </w:pPr>
      <w:r>
        <w:rPr>
          <w:rFonts w:ascii="KoPubWorld바탕체_Pro Bold" w:hAnsi="KoPubWorld바탕체_Pro Bold" w:eastAsia="KoPubWorld바탕체_Pro Bold" w:cs="KoPubWorld바탕체_Pro Bold"/>
          <w:b/>
          <w:sz w:val="24"/>
        </w:rPr>
        <w:t>Chapter. 02</w:t>
      </w:r>
    </w:p>
    <w:p>
      <w:pPr>
        <w:pStyle w:val="aff1"/>
        <w:jc w:val="center"/>
      </w:pPr>
      <w:r>
        <w:rPr>
          <w:rFonts w:ascii="KoPubWorld바탕체_Pro Bold" w:hAnsi="KoPubWorld바탕체_Pro Bold" w:eastAsia="KoPubWorld바탕체_Pro Bold" w:cs="KoPubWorld바탕체_Pro Bold"/>
          <w:b/>
          <w:sz w:val="28"/>
        </w:rPr>
        <w:t>이자는 죄인가 가격인가 — 중세의 금리규제와 계약의 우회</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1179년 로마의 라테라노 대성전. 성직자들은 교회 질서와 왕권, 이단과 전쟁을 논의했다. 그 가운데 짧지만 오래 남을 규칙이 있었다. 공공연한 고리대금업자를 성찬과 기독교식 장례에서 배제하라는 제3차 라테라노 공의회의 결정이었다.</w:t>
      </w:r>
      <w:r>
        <w:rPr>
          <w:rFonts w:ascii="KoPubWorld바탕체_Pro Light" w:hAnsi="KoPubWorld바탕체_Pro Light" w:eastAsia="KoPubWorld바탕체_Pro Light" w:cs="KoPubWorld바탕체_Pro Light"/>
          <w:sz w:val="14"/>
          <w:vertAlign w:val="superscript"/>
        </w:rPr>
        <w:t>5</w:t>
      </w:r>
      <w:r>
        <w:rPr>
          <w:rFonts w:ascii="KoPubWorld바탕체_Pro Light" w:hAnsi="KoPubWorld바탕체_Pro Light" w:eastAsia="KoPubWorld바탕체_Pro Light" w:cs="KoPubWorld바탕체_Pro Light"/>
          <w:sz w:val="16"/>
        </w:rPr>
        <w:t xml:space="preserve"> 대부업자는 단지 비싼 서비스를 파는 사람이 아니라 공동체의 도덕을 해치는 사람으로 규정되었다. 돈이 돈을 낳는다는 생각 자체가 의심받던 시대였다.</w:t>
      </w:r>
    </w:p>
    <w:p>
      <w:pPr>
        <w:pStyle w:val="aff3"/>
        <w:spacing w:line="259" w:lineRule="auto"/>
      </w:pPr>
      <w:r>
        <w:rPr>
          <w:rFonts w:ascii="KoPubWorld바탕체_Pro Light" w:hAnsi="KoPubWorld바탕체_Pro Light" w:eastAsia="KoPubWorld바탕체_Pro Light" w:cs="KoPubWorld바탕체_Pro Light"/>
          <w:sz w:val="16"/>
        </w:rPr>
        <w:t>그러나 같은 시기 유럽의 상업도시는 성장하고 있었다. 상인은 먼 항구로 물건을 보내기 전에 자금을 마련해야 했고, 농부는 파종과 수확 사이를 버텨야 했으며, 왕은 전쟁비용을 당겨 써야 했다. 신용을 죄로만 밀어내면 거래가 멈췄다. 신용을 아무 조건 없이 허용하면 궁핍한 채무자를 수탈한다는 비난이 커졌다. 중세와 근세의 금리규제는 이 모순을 없애지 못했다. 대신 계약의 이름과 모양을 바꾸며 모순을 관리했다.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돈의 시간에는 값이 있는가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고리, 곧 usury라는 말은 처음부터 오늘날의 ‘법정 최고금리를 넘는 이자’만을 뜻하지 않았다. 일정한 시대와 교리에서는 원금에 무엇이든 더해 받는 행위 전체가 문제였다. 돈은 소비되는 물건이므로 사용료를 따로 받을 수 없다는 논리, 시간은 신에게 속하므로 시간을 팔 수 없다는 도덕적 언어가 그 배경에 있었다. 대부자가 위험을 지거나 실제 손실을 입은 경우의 보상은 별도로 논의될 수 있었지만, 확정된 원금과 확정된 수익을 동시에 확보하는 계약은 의심의 대상이었다.</w:t>
      </w:r>
    </w:p>
    <w:p>
      <w:pPr>
        <w:pStyle w:val="aff3"/>
        <w:spacing w:line="259" w:lineRule="auto"/>
      </w:pPr>
      <w:r>
        <w:rPr>
          <w:rFonts w:ascii="KoPubWorld바탕체_Pro Light" w:hAnsi="KoPubWorld바탕체_Pro Light" w:eastAsia="KoPubWorld바탕체_Pro Light" w:cs="KoPubWorld바탕체_Pro Light"/>
          <w:sz w:val="16"/>
        </w:rPr>
        <w:t>제3차 라테라노 공의회는 1179년 고리대금업자를 교회의 의례와 매장에서 배제하는 강한 사회적 제재를 확인했다.</w:t>
      </w:r>
      <w:r>
        <w:rPr>
          <w:rFonts w:ascii="KoPubWorld바탕체_Pro Light" w:hAnsi="KoPubWorld바탕체_Pro Light" w:eastAsia="KoPubWorld바탕체_Pro Light" w:cs="KoPubWorld바탕체_Pro Light"/>
          <w:sz w:val="14"/>
          <w:vertAlign w:val="superscript"/>
        </w:rPr>
        <w:t>5</w:t>
      </w:r>
      <w:r>
        <w:rPr>
          <w:rFonts w:ascii="KoPubWorld바탕체_Pro Light" w:hAnsi="KoPubWorld바탕체_Pro Light" w:eastAsia="KoPubWorld바탕체_Pro Light" w:cs="KoPubWorld바탕체_Pro Light"/>
          <w:sz w:val="16"/>
        </w:rPr>
        <w:t xml:space="preserve"> 1215년 제4차 라테라노 공의회는 기독교 군주가 유대인의 ‘과도하고 억압적인’ 이자 때문에 기독교인이 궁핍해지는 것을 막아야 한다고 정했다.</w:t>
      </w:r>
      <w:r>
        <w:rPr>
          <w:rFonts w:ascii="KoPubWorld바탕체_Pro Light" w:hAnsi="KoPubWorld바탕체_Pro Light" w:eastAsia="KoPubWorld바탕체_Pro Light" w:cs="KoPubWorld바탕체_Pro Light"/>
          <w:sz w:val="14"/>
          <w:vertAlign w:val="superscript"/>
        </w:rPr>
        <w:t>6</w:t>
      </w:r>
      <w:r>
        <w:rPr>
          <w:rFonts w:ascii="KoPubWorld바탕체_Pro Light" w:hAnsi="KoPubWorld바탕체_Pro Light" w:eastAsia="KoPubWorld바탕체_Pro Light" w:cs="KoPubWorld바탕체_Pro Light"/>
          <w:sz w:val="16"/>
        </w:rPr>
        <w:t xml:space="preserve"> 이 규칙은 채무자보호의 언어를 사용했지만, 동시에 유대인을 특정한 금융 역할에 가두고 차별하는 질서를 강화했다. 중세 금융규제를 선한 교회와 탐욕스러운 대부자의 대결로만 그리면, 규제가 누구에게 영업권을 주고 누구를 배제했는지가 보이지 않는다.</w:t>
      </w:r>
    </w:p>
    <w:p>
      <w:pPr>
        <w:pStyle w:val="aff3"/>
        <w:spacing w:line="259" w:lineRule="auto"/>
      </w:pPr>
      <w:r>
        <w:rPr>
          <w:rFonts w:ascii="KoPubWorld바탕체_Pro Light" w:hAnsi="KoPubWorld바탕체_Pro Light" w:eastAsia="KoPubWorld바탕체_Pro Light" w:cs="KoPubWorld바탕체_Pro Light"/>
          <w:sz w:val="16"/>
        </w:rPr>
        <w:t>신학의 금지에도 이자를 낳는 경제적 조건은 사라지지 않았다. 돈을 빌려 준 동안 다른 거래를 포기한 비용, 항해 실패와 채무불이행의 위험, 통화 가치의 변화가 있었다. 대부를 업으로 삼는 사람은 그 비용을 어떤 이름으로든 가격에 넣으려 했다. 그래서 역사는 ‘금지했으나 몰래 어겼다’는 단순한 이야기가 아니라, 허용되는 이익과 금지되는 이자를 구별하려는 긴 법적 공방이 되었다.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금지는 계약을 없애지 않고 모양을 바꾸었다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상인은 대출 대신 동업을 선택할 수 있었다. 한쪽이 자본을 대고 다른 쪽이 여행과 판매를 맡은 뒤 이익을 나누면, 수익은 시간의 대가가 아니라 사업위험의 몫으로 설명되었다. 상품을 외상으로 비싸게 팔거나, 한 도시에서 지급한 돈을 다른 도시의 다른 통화로 갚게 하는 환어음도 신용과 환율을 한 계약 안에 담았다. 연체 때문에 실제 손해가 났다는 명목의 배상, 담보물의 사용수익, 매매와 재매매의 결합도 이자와 비슷한 경제효과를 만들 수 있었다.</w:t>
      </w:r>
    </w:p>
    <w:p>
      <w:pPr>
        <w:pStyle w:val="aff3"/>
        <w:spacing w:line="259" w:lineRule="auto"/>
      </w:pPr>
      <w:r>
        <w:rPr>
          <w:rFonts w:ascii="KoPubWorld바탕체_Pro Light" w:hAnsi="KoPubWorld바탕체_Pro Light" w:eastAsia="KoPubWorld바탕체_Pro Light" w:cs="KoPubWorld바탕체_Pro Light"/>
          <w:sz w:val="16"/>
        </w:rPr>
        <w:t>이 우회는 모두 사기였다고 단정할 수 없다. 공동사업에서는 자본 제공자도 손실을 나누었고, 환어음은 동전을 운반하는 위험을 줄이는 실제 서비스를 제공했다. 문제는 경제적 실질과 법적 형식 사이의 거리였다. 확정수익을 사실상 보장하면서 겉으로만 동업이라 부르는 계약도 가능했다. 규제자는 문서의 제목만 볼 것인지, 손실부담과 현금흐름을 볼 것인지 선택해야 했다. 오늘날 파생상품, 환매조건부매매, 규제자본을 줄이기 위한 구조화 거래에서도 되풀이되는 질문이다.</w:t>
      </w:r>
    </w:p>
    <w:p>
      <w:pPr>
        <w:pStyle w:val="aff3"/>
        <w:spacing w:line="259" w:lineRule="auto"/>
      </w:pPr>
      <w:r>
        <w:rPr>
          <w:rFonts w:ascii="KoPubWorld바탕체_Pro Light" w:hAnsi="KoPubWorld바탕체_Pro Light" w:eastAsia="KoPubWorld바탕체_Pro Light" w:cs="KoPubWorld바탕체_Pro Light"/>
          <w:sz w:val="16"/>
        </w:rPr>
        <w:t>금리규제가 강할수록 우회비용도 커졌다. 복잡한 계약을 설계하고 법정에서 방어할 수 있는 부유한 상인은 합법의 문턱을 넘었지만, 작은 대부자와 가난한 채무자는 비공식 시장으로 밀릴 수 있었다. 겉으로 드러난 금리가 사라진 자리에 환전손실, 수수료, 강매, 담보의 헐값 처분이 들어왔다. 가격을 누른 규제가 총비용을 반드시 낮추지는 않았다.</w:t>
      </w:r>
    </w:p>
    <w:p>
      <w:pPr>
        <w:pStyle w:val="aff3"/>
        <w:spacing w:line="259" w:lineRule="auto"/>
      </w:pPr>
      <w:r>
        <w:rPr>
          <w:rFonts w:ascii="KoPubWorld바탕체_Pro Light" w:hAnsi="KoPubWorld바탕체_Pro Light" w:eastAsia="KoPubWorld바탕체_Pro Light" w:cs="KoPubWorld바탕체_Pro Light"/>
          <w:sz w:val="16"/>
        </w:rPr>
        <w:t>그렇다고 우회가 언제나 규제 실패를 뜻하지도 않았다. 법이 위험을 실제로 나누는 동업과 확정이자를 구별하도록 압박하자, 상인은 자금제공자와 사업자의 권리·의무를 더 구체적으로 적었다. 환어음에는 지급지와 만기, 통화와 인수인의 신용이 들어갔다. 금지가 금융기술을 낳았다고 단정하는 것은 과장이지만, 허용되는 계약을 찾으려는 압력이 금융문서의 세분화를 촉진한 것은 분명하다.</w:t>
      </w:r>
    </w:p>
    <w:p>
      <w:pPr>
        <w:pStyle w:val="aff3"/>
        <w:spacing w:line="259" w:lineRule="auto"/>
      </w:pPr>
      <w:r>
        <w:rPr>
          <w:rFonts w:ascii="KoPubWorld바탕체_Pro Light" w:hAnsi="KoPubWorld바탕체_Pro Light" w:eastAsia="KoPubWorld바탕체_Pro Light" w:cs="KoPubWorld바탕체_Pro Light"/>
          <w:sz w:val="16"/>
        </w:rPr>
        <w:t>이 과정에서 법률가와 공증인, 환전상과 상인재판소의 역할이 커졌다. 규칙이 복잡해질수록 신용의 가격에는 자금비용뿐 아니라 법을 해석하는 비용도 포함되었다. 규제가 약자를 보호하려고 만들어졌어도, 법률서비스에 접근할 수 있는 사람에게 유리하게 작동할 수 있었다. ‘규칙의 평등’과 ‘규칙을 사용할 능력의 평등’은 같은 말이 아니었다.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보호의 법이 배제의 법이 될 때</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1275년 잉글랜드의 Statute of Jewry는 유대인의 이자대부를 금지했다.</w:t>
      </w:r>
      <w:r>
        <w:rPr>
          <w:rFonts w:ascii="KoPubWorld바탕체_Pro Light" w:hAnsi="KoPubWorld바탕체_Pro Light" w:eastAsia="KoPubWorld바탕체_Pro Light" w:cs="KoPubWorld바탕체_Pro Light"/>
          <w:sz w:val="14"/>
          <w:vertAlign w:val="superscript"/>
        </w:rPr>
        <w:t>7</w:t>
      </w:r>
      <w:r>
        <w:rPr>
          <w:rFonts w:ascii="KoPubWorld바탕체_Pro Light" w:hAnsi="KoPubWorld바탕체_Pro Light" w:eastAsia="KoPubWorld바탕체_Pro Light" w:cs="KoPubWorld바탕체_Pro Light"/>
          <w:sz w:val="16"/>
        </w:rPr>
        <w:t xml:space="preserve"> 이 조치는 채무자의 부담을 줄이는 제도로 설명될 수 있지만, 유대인 공동체가 토지소유와 길드 활동에서 제한받고 특정한 생업에 의존하게 된 역사와 분리할 수 없다. 통치자는 때로 유대인 대부업자를 과세원으로 이용했고, 때로 그들의 채권을 무효화하거나 재산을 몰수했다. 금융규제는 도덕을 집행하는 동시에 소수자의 재산권과 거주권을 흔드는 권력기술이었다.</w:t>
      </w:r>
    </w:p>
    <w:p>
      <w:pPr>
        <w:pStyle w:val="aff3"/>
        <w:spacing w:line="259" w:lineRule="auto"/>
      </w:pPr>
      <w:r>
        <w:rPr>
          <w:rFonts w:ascii="KoPubWorld바탕체_Pro Light" w:hAnsi="KoPubWorld바탕체_Pro Light" w:eastAsia="KoPubWorld바탕체_Pro Light" w:cs="KoPubWorld바탕체_Pro Light"/>
          <w:sz w:val="16"/>
        </w:rPr>
        <w:t>기독교 대부자에게도 금지는 균등하게 적용되지 않았다. 왕실과 도시가 자금을 필요로 할 때는 예외와 특허, 복잡한 명목이 생겼다. 어느 거래가 정당한 상업이익이고 어느 거래가 고리인지 판별하는 권한 자체가 정치적 자산이 되었다. 규칙이 엄격할수록 예외를 줄 수 있는 권력의 가치도 커졌다. 규제는 시장을 억누르는 것만이 아니라 허용된 시장의 참가자를 선택했다.</w:t>
      </w:r>
    </w:p>
    <w:p>
      <w:pPr>
        <w:pStyle w:val="aff3"/>
        <w:spacing w:line="259" w:lineRule="auto"/>
      </w:pPr>
      <w:r>
        <w:rPr>
          <w:rFonts w:ascii="KoPubWorld바탕체_Pro Light" w:hAnsi="KoPubWorld바탕체_Pro Light" w:eastAsia="KoPubWorld바탕체_Pro Light" w:cs="KoPubWorld바탕체_Pro Light"/>
          <w:sz w:val="16"/>
        </w:rPr>
        <w:t>따라서 중세의 금리규제를 평가할 때는 세 가지 질문을 나누어야 한다. 실제 차입비용이 낮아졌는가. 채무불이행 때 몸과 토지에 가해지는 집행이 줄었는가. 그리고 신용에 접근할 수 있는 사람의 범위가 넓어졌는가. 첫 번째만 보면 상한은 성공처럼 보일 수 있고, 공식계약만 보면 대부가 사라진 것처럼 보일 수 있다. 그러나 비공식 비용과 배제까지 살피면 결과는 달라진다.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죄에서 상한으로, 상한에서 시장가격으로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근세에 들어 이자를 전면 부정하는 규칙은 점차 ‘얼마까지 허용할 것인가’라는 상한 규제로 바뀌었다. 잉글랜드의 1545년 법은 헨리 8세 치하에서 10퍼센트 수준의 상한을 두었다. 1819년 의회 토론에서도 이 법이 영국 이자제한법의 중요한 출발점으로 회고되었다.</w:t>
      </w:r>
      <w:r>
        <w:rPr>
          <w:rFonts w:ascii="KoPubWorld바탕체_Pro Light" w:hAnsi="KoPubWorld바탕체_Pro Light" w:eastAsia="KoPubWorld바탕체_Pro Light" w:cs="KoPubWorld바탕체_Pro Light"/>
          <w:sz w:val="14"/>
          <w:vertAlign w:val="superscript"/>
        </w:rPr>
        <w:t>8</w:t>
      </w:r>
      <w:r>
        <w:rPr>
          <w:rFonts w:ascii="KoPubWorld바탕체_Pro Light" w:hAnsi="KoPubWorld바탕체_Pro Light" w:eastAsia="KoPubWorld바탕체_Pro Light" w:cs="KoPubWorld바탕체_Pro Light"/>
          <w:sz w:val="16"/>
        </w:rPr>
        <w:t xml:space="preserve"> 금리를 인정하되 지나친 가격을 금지하는 순간, 이자는 죄에서 규제되는 상품가격으로 이동했다.</w:t>
      </w:r>
    </w:p>
    <w:p>
      <w:pPr>
        <w:pStyle w:val="aff3"/>
        <w:spacing w:line="259" w:lineRule="auto"/>
      </w:pPr>
      <w:r>
        <w:rPr>
          <w:rFonts w:ascii="KoPubWorld바탕체_Pro Light" w:hAnsi="KoPubWorld바탕체_Pro Light" w:eastAsia="KoPubWorld바탕체_Pro Light" w:cs="KoPubWorld바탕체_Pro Light"/>
          <w:sz w:val="16"/>
        </w:rPr>
        <w:t>이 변화가 도덕의 퇴장을 뜻한 것은 아니다. 1745년 교황 베네딕토 14세의 회칙 Vix Pervenit은 대부계약에서 원금을 넘어 확정적으로 받는 이익의 문제를 다시 확인하면서도, 다른 정당한 사유에서 생기는 보상 가능성을 구별했다.</w:t>
      </w:r>
      <w:r>
        <w:rPr>
          <w:rFonts w:ascii="KoPubWorld바탕체_Pro Light" w:hAnsi="KoPubWorld바탕체_Pro Light" w:eastAsia="KoPubWorld바탕체_Pro Light" w:cs="KoPubWorld바탕체_Pro Light"/>
          <w:sz w:val="14"/>
          <w:vertAlign w:val="superscript"/>
        </w:rPr>
        <w:t>9</w:t>
      </w:r>
      <w:r>
        <w:rPr>
          <w:rFonts w:ascii="KoPubWorld바탕체_Pro Light" w:hAnsi="KoPubWorld바탕체_Pro Light" w:eastAsia="KoPubWorld바탕체_Pro Light" w:cs="KoPubWorld바탕체_Pro Light"/>
          <w:sz w:val="16"/>
        </w:rPr>
        <w:t xml:space="preserve"> ‘모든 추가 지급’과 ‘부당한 추가 지급’을 가르는 작업은 교리 안에서도 계속되었다.</w:t>
      </w:r>
    </w:p>
    <w:p>
      <w:pPr>
        <w:pStyle w:val="aff3"/>
        <w:spacing w:line="259" w:lineRule="auto"/>
      </w:pPr>
      <w:r>
        <w:rPr>
          <w:rFonts w:ascii="KoPubWorld바탕체_Pro Light" w:hAnsi="KoPubWorld바탕체_Pro Light" w:eastAsia="KoPubWorld바탕체_Pro Light" w:cs="KoPubWorld바탕체_Pro Light"/>
          <w:sz w:val="16"/>
        </w:rPr>
        <w:t>상한을 숫자로 정하면 또 다른 문제가 생겼다. 위험이 다른 대출에 같은 가격을 적용하면, 대부자는 가장 안전한 사람만 골라 빌려 줄 수 있다. 담보가 부족한 사람은 정해진 금리 안에서 위험을 보상할 수 없다는 이유로 거절당한다. 반대로 위험을 이유로 어떤 가격도 허용하면, 대부자는 채무자의 절박함을 ‘위험 프리미엄’이라 부를 수 있다. 금리규제는 가격을 정하는 문제가 아니라 누가 공식 신용에 들어오고 누가 바깥으로 밀려나는지를 정하는 문제였다.</w:t>
      </w:r>
    </w:p>
    <w:p>
      <w:pPr>
        <w:pStyle w:val="aff3"/>
        <w:spacing w:line="259" w:lineRule="auto"/>
      </w:pPr>
      <w:r>
        <w:rPr>
          <w:rFonts w:ascii="KoPubWorld바탕체_Pro Light" w:hAnsi="KoPubWorld바탕체_Pro Light" w:eastAsia="KoPubWorld바탕체_Pro Light" w:cs="KoPubWorld바탕체_Pro Light"/>
          <w:sz w:val="16"/>
        </w:rPr>
        <w:t>법정상한과 시장가격의 차이가 커질 때 집행의 선택성도 문제가 되었다. 모든 거래를 단속할 수 없다면 당국은 누구를 먼저 처벌할지 결정해야 한다. 정치적으로 약한 소수자와 작은 대부자가 표적이 되고, 왕실과 연결된 큰 금융가는 예외를 얻을 수 있었다. 규정의 엄격함만으로 보호 수준을 판단할 수 없는 이유다.</w:t>
      </w:r>
    </w:p>
    <w:p>
      <w:pPr>
        <w:pStyle w:val="aff3"/>
        <w:spacing w:line="259" w:lineRule="auto"/>
      </w:pPr>
      <w:r>
        <w:rPr>
          <w:rFonts w:ascii="KoPubWorld바탕체_Pro Light" w:hAnsi="KoPubWorld바탕체_Pro Light" w:eastAsia="KoPubWorld바탕체_Pro Light" w:cs="KoPubWorld바탕체_Pro Light"/>
          <w:sz w:val="16"/>
        </w:rPr>
        <w:t>상한 규제는 경제상황과 함께 움직였다. 전쟁이나 신용경색 때 시장금리가 법정상한을 넘으면, 좋은 차입자조차 공식시장 밖으로 밀렸다. 반대로 정보와 협상력이 크게 다른 개인대출에서 완전한 자유는 약자를 보호하지 못했다. 1854년 영국 의회는 Usury Laws Repeal Act로 남아 있던 광범위한 이자제한을 폐지했다.</w:t>
      </w:r>
      <w:r>
        <w:rPr>
          <w:rFonts w:ascii="KoPubWorld바탕체_Pro Light" w:hAnsi="KoPubWorld바탕체_Pro Light" w:eastAsia="KoPubWorld바탕체_Pro Light" w:cs="KoPubWorld바탕체_Pro Light"/>
          <w:sz w:val="14"/>
          <w:vertAlign w:val="superscript"/>
        </w:rPr>
        <w:t>10</w:t>
      </w:r>
      <w:r>
        <w:rPr>
          <w:rFonts w:ascii="KoPubWorld바탕체_Pro Light" w:hAnsi="KoPubWorld바탕체_Pro Light" w:eastAsia="KoPubWorld바탕체_Pro Light" w:cs="KoPubWorld바탕체_Pro Light"/>
          <w:sz w:val="16"/>
        </w:rPr>
        <w:t xml:space="preserve"> 이는 ‘이자는 시장이 정한다’는 방향의 승리였지만, 모든 대출관계에서 규제가 사라졌다는 뜻은 아니었다. 담보, 사기, 정보공개, 파산, 소비자신용을 둘러싼 규율이 다른 형태로 자라났다.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리바 금지와 위험을 나누는 금융</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이슬람 금융의 리바 금지도 단순히 ‘이자를 받지 않는다’는 한 문장으로 끝나지 않는다. 현대 이슬람 금융은 리바뿐 아니라 과도한 불확실성인 가라르, 투기에 가까운 마이시르를 피하고, 실물자산과 거래의 연계 및 위험분담을 강조한다. 이 때문에 원가와 이윤을 공개한 매매, 임대, 손익공유 투자 같은 계약형식이 발달했다.</w:t>
      </w:r>
      <w:r>
        <w:rPr>
          <w:rFonts w:ascii="KoPubWorld바탕체_Pro Light" w:hAnsi="KoPubWorld바탕체_Pro Light" w:eastAsia="KoPubWorld바탕체_Pro Light" w:cs="KoPubWorld바탕체_Pro Light"/>
          <w:sz w:val="14"/>
          <w:vertAlign w:val="superscript"/>
        </w:rPr>
        <w:t>11</w:t>
      </w:r>
    </w:p>
    <w:p>
      <w:pPr>
        <w:pStyle w:val="aff3"/>
        <w:spacing w:line="259" w:lineRule="auto"/>
      </w:pPr>
      <w:r>
        <w:rPr>
          <w:rFonts w:ascii="KoPubWorld바탕체_Pro Light" w:hAnsi="KoPubWorld바탕체_Pro Light" w:eastAsia="KoPubWorld바탕체_Pro Light" w:cs="KoPubWorld바탕체_Pro Light"/>
          <w:sz w:val="16"/>
        </w:rPr>
        <w:t>그러나 무엇이 리바인지, 현대 은행이자와 모두 같은 것인지에 대해서는 해석의 폭이 있다. 형식상 매매이지만 현금흐름이 고정금리대출과 거의 같은 상품을 어떻게 볼지도 논쟁적이다. 국제통화기금의 설명 역시 이슬람 금융을 단일한 제도로 다루지 않고, 각국의 샤리아 해석과 감독체계가 다르다는 점을 강조한다.</w:t>
      </w:r>
      <w:r>
        <w:rPr>
          <w:rFonts w:ascii="KoPubWorld바탕체_Pro Light" w:hAnsi="KoPubWorld바탕체_Pro Light" w:eastAsia="KoPubWorld바탕체_Pro Light" w:cs="KoPubWorld바탕체_Pro Light"/>
          <w:sz w:val="14"/>
          <w:vertAlign w:val="superscript"/>
        </w:rPr>
        <w:t>11</w:t>
      </w:r>
      <w:r>
        <w:rPr>
          <w:rFonts w:ascii="KoPubWorld바탕체_Pro Light" w:hAnsi="KoPubWorld바탕체_Pro Light" w:eastAsia="KoPubWorld바탕체_Pro Light" w:cs="KoPubWorld바탕체_Pro Light"/>
          <w:sz w:val="16"/>
        </w:rPr>
        <w:t xml:space="preserve"> 종교 규칙은 금융을 없애기보다 위험과 소유권을 문서에 배치하는 다른 문법을 만든다.</w:t>
      </w:r>
    </w:p>
    <w:p>
      <w:pPr>
        <w:pStyle w:val="aff3"/>
        <w:spacing w:line="259" w:lineRule="auto"/>
      </w:pPr>
      <w:r>
        <w:rPr>
          <w:rFonts w:ascii="KoPubWorld바탕체_Pro Light" w:hAnsi="KoPubWorld바탕체_Pro Light" w:eastAsia="KoPubWorld바탕체_Pro Light" w:cs="KoPubWorld바탕체_Pro Light"/>
          <w:sz w:val="16"/>
        </w:rPr>
        <w:t>이 문법에도 비용은 있다. 계약 단계가 늘면 법률비용과 세금 문제가 커지고, 실제 손실은 고객에게 넘기면서 이익만 ‘매매이윤’으로 확정할 위험도 있다. 반대로 위험공유와 실물연계가 과도한 레버리지를 줄일 수 있다는 평가도 있다. 중요한 것은 이름이 아니라 누가 자산을 소유하고, 손실을 먼저 감당하며, 고객이 총비용을 이해할 수 있는지다.</w:t>
      </w:r>
    </w:p>
    <w:p>
      <w:pPr>
        <w:pStyle w:val="aff3"/>
        <w:spacing w:line="259" w:lineRule="auto"/>
      </w:pPr>
      <w:r>
        <w:rPr>
          <w:rFonts w:ascii="KoPubWorld바탕체_Pro Light" w:hAnsi="KoPubWorld바탕체_Pro Light" w:eastAsia="KoPubWorld바탕체_Pro Light" w:cs="KoPubWorld바탕체_Pro Light"/>
          <w:sz w:val="16"/>
        </w:rPr>
        <w:t>현대 감독당국이 마주하는 과제도 이중적이다. 종교적 원칙을 존중하면서 예금자보호와 자본규제, 회계기준을 일반 은행제도와 연결해야 한다. 같은 경제위험을 가진 상품에 같은 건전성 부담을 줄 것인지, 계약의 특수성을 반영할 것인지가 쟁점이 된다. 국제통화기금은 이슬람 금융의 성장 가능성과 함께 샤리아 거버넌스, 유동성관리, 정리제도의 과제를 함께 지적한다.</w:t>
      </w:r>
      <w:r>
        <w:rPr>
          <w:rFonts w:ascii="KoPubWorld바탕체_Pro Light" w:hAnsi="KoPubWorld바탕체_Pro Light" w:eastAsia="KoPubWorld바탕체_Pro Light" w:cs="KoPubWorld바탕체_Pro Light"/>
          <w:sz w:val="14"/>
          <w:vertAlign w:val="superscript"/>
        </w:rPr>
        <w:t>11</w:t>
      </w:r>
      <w:r>
        <w:rPr>
          <w:rFonts w:ascii="KoPubWorld바탕체_Pro Light" w:hAnsi="KoPubWorld바탕체_Pro Light" w:eastAsia="KoPubWorld바탕체_Pro Light" w:cs="KoPubWorld바탕체_Pro Light"/>
          <w:sz w:val="16"/>
        </w:rPr>
        <w:t xml:space="preserve"> 오래된 금지의 언어는 현대 감독의 세부규칙 속에서 다시 번역되고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이자의 두 얼굴을 함께 보는 법</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금리상한을 옹호하는 사람은 절박한 채무자가 가격을 자유롭게 협상할 수 없다고 말한다. 상한이 없으면 정보와 힘을 가진 대부자가 생존의 가치를 이자로 가져간다. 반대하는 사람은 상한이 위험한 차입자를 공식 금융에서 쫓아내고, 숨은 수수료와 불법시장을 키운다고 말한다. 두 주장 모두 역사적 사례를 갖고 있다. 어느 한쪽은 언제나 맞고 다른 쪽은 언제나 틀리다고 정리할 수 없다.</w:t>
      </w:r>
    </w:p>
    <w:p>
      <w:pPr>
        <w:pStyle w:val="aff3"/>
        <w:spacing w:line="259" w:lineRule="auto"/>
      </w:pPr>
      <w:r>
        <w:rPr>
          <w:rFonts w:ascii="KoPubWorld바탕체_Pro Light" w:hAnsi="KoPubWorld바탕체_Pro Light" w:eastAsia="KoPubWorld바탕체_Pro Light" w:cs="KoPubWorld바탕체_Pro Light"/>
          <w:sz w:val="16"/>
        </w:rPr>
        <w:t>그래서 현대의 좋은 금리규제는 숫자 하나만 정하지 않는다. 연이율에 포함할 비용을 정의하고, 광고와 설명을 통제하며, 상환능력 심사와 추심행위를 규율하고, 파산과 채무조정의 출구를 함께 만든다. 중세 상인이 계약의 이름을 바꾸어 금지를 우회했듯, 오늘의 대부자는 이자를 수수료·회원권·보험료로 옮길 수 있다. 규제도 거래의 형식보다 경제적 실질을 따라가야 한다.</w:t>
      </w:r>
    </w:p>
    <w:p>
      <w:pPr>
        <w:pStyle w:val="aff3"/>
        <w:spacing w:line="259" w:lineRule="auto"/>
      </w:pPr>
      <w:r>
        <w:rPr>
          <w:rFonts w:ascii="KoPubWorld바탕체_Pro Light" w:hAnsi="KoPubWorld바탕체_Pro Light" w:eastAsia="KoPubWorld바탕체_Pro Light" w:cs="KoPubWorld바탕체_Pro Light"/>
          <w:sz w:val="16"/>
        </w:rPr>
        <w:t>집행의 강도도 설계의 일부다. 너무 약하면 상한은 종이 위의 선언이 되고, 너무 강하면서 합법적 대체신용이 없으면 차입자는 더 위험한 시장을 찾는다. 가격 규제, 정보 규제, 경쟁정책, 채무조정을 함께 보아야 하는 이유다. 역사 속 논쟁은 ‘규제냐 자유냐’가 아니라 어떤 규칙 묶음이 신용의 이익을 남기면서 강제를 줄일 수 있는가에 가까웠다.</w:t>
      </w:r>
    </w:p>
    <w:p>
      <w:pPr>
        <w:pStyle w:val="aff3"/>
        <w:spacing w:line="259" w:lineRule="auto"/>
      </w:pPr>
      <w:r>
        <w:rPr>
          <w:rFonts w:ascii="KoPubWorld바탕체_Pro Light" w:hAnsi="KoPubWorld바탕체_Pro Light" w:eastAsia="KoPubWorld바탕체_Pro Light" w:cs="KoPubWorld바탕체_Pro Light"/>
          <w:sz w:val="16"/>
        </w:rPr>
        <w:t>라테라노 대성전의 규칙은 우리에게 낯설지만 질문은 남아 있다. 돈을 빌려 주는 행위는 사회에 필요한 서비스인가, 타인의 절박함에서 이익을 얻는 행위인가. 답은 둘 중 하나가 아니다. 신용은 시간을 연결하고 위험을 감당하게 하지만, 동시에 미래의 노동을 오늘의 채권자에게 넘긴다. 규제는 이자의 존재를 허용하거나 금지하는 데서 끝나지 않는다. 가격과 접근, 집행과 면책, 합법과 우회의 경계를 함께 설계해야 한다. 이자는 죄와 가격 가운데 하나로 완전히 정착하지 않았다. 금융사가 다음 장으로 넘어갈 때도, 그 두 얼굴은 계약서의 다른 이름 아래 계속 따라온다.</w:t>
      </w:r>
    </w:p>
    <w:p>
      <w:pPr>
        <w:pStyle w:val="aff2"/>
        <w:pageBreakBefore/>
        <w:spacing w:before="440"/>
        <w:jc w:val="center"/>
      </w:pPr>
      <w:r>
        <w:rPr>
          <w:rFonts w:ascii="KoPubWorld바탕체_Pro Bold" w:hAnsi="KoPubWorld바탕체_Pro Bold" w:eastAsia="KoPubWorld바탕체_Pro Bold" w:cs="KoPubWorld바탕체_Pro Bold"/>
          <w:b/>
          <w:sz w:val="24"/>
        </w:rPr>
        <w:t>Chapter. 03</w:t>
      </w:r>
    </w:p>
    <w:p>
      <w:pPr>
        <w:pStyle w:val="aff1"/>
        <w:jc w:val="center"/>
      </w:pPr>
      <w:r>
        <w:rPr>
          <w:rFonts w:ascii="KoPubWorld바탕체_Pro Bold" w:hAnsi="KoPubWorld바탕체_Pro Bold" w:eastAsia="KoPubWorld바탕체_Pro Bold" w:cs="KoPubWorld바탕체_Pro Bold"/>
          <w:b/>
          <w:sz w:val="28"/>
        </w:rPr>
        <w:t>동전의 가장자리 — 주화, 위조, 화폐발행권</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시장 바닥에 은화 한 닢이 떨어져 있다. 앞면의 왕 얼굴은 또렷하지만 가장자리는 매끈하지 않다. 누군가가 아주 얇게 은을 깎아 냈다. 한 닢에서는 티가 나지 않지만 수백 닢을 모으면 새 은괴가 된다. 깎인 동전도 액면 그대로 받아 주는 동안, 가장 합리적인 행동은 온전한 동전을 녹이거나 숨기고 가벼운 동전만 쓰는 것이다. 사람들은 서로의 돈을 의심하기 시작한다.</w:t>
      </w:r>
    </w:p>
    <w:p>
      <w:pPr>
        <w:pStyle w:val="aff3"/>
        <w:spacing w:line="259" w:lineRule="auto"/>
      </w:pPr>
      <w:r>
        <w:rPr>
          <w:rFonts w:ascii="KoPubWorld바탕체_Pro Light" w:hAnsi="KoPubWorld바탕체_Pro Light" w:eastAsia="KoPubWorld바탕체_Pro Light" w:cs="KoPubWorld바탕체_Pro Light"/>
          <w:sz w:val="16"/>
        </w:rPr>
        <w:t>17세기 말 잉글랜드가 맞닥뜨린 화폐위기는 위조범 몇 명의 범죄가 아니었다. 손으로 두드려 만든 오래된 은화와 기계로 찍은 새 은화가 함께 돌았고, 무게와 액면가치의 차이를 이용할 유인이 컸다. 1696년 의회가 대대적인 재주조를 명령했을 때, 그것은 낡은 동전을 새것으로 바꾸는 행정사업이자 국가가 어떤 물건을 ‘한 파운드의 일부’로 인정할지 다시 선언하는 정치적 사건이었다.</w:t>
      </w:r>
      <w:r>
        <w:rPr>
          <w:rFonts w:ascii="KoPubWorld바탕체_Pro Light" w:hAnsi="KoPubWorld바탕체_Pro Light" w:eastAsia="KoPubWorld바탕체_Pro Light" w:cs="KoPubWorld바탕체_Pro Light"/>
          <w:sz w:val="14"/>
          <w:vertAlign w:val="superscript"/>
        </w:rPr>
        <w:t>12</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왕의 얼굴보다 중요한 것</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동전에는 통치자의 초상이 있지만 화폐의 신뢰는 얼굴만으로 생기지 않는다. 금속의 순도와 무게, 단위의 관계가 일정해야 하고, 세금과 법정채무에서 그 동전을 받아 준다는 기대가 있어야 한다. 주화는 귀금속 조각이면서 공적 측정단위다. 같은 이름의 실링이 사람마다 다른 무게라면 가격표와 장부도 흔들린다.</w:t>
      </w:r>
    </w:p>
    <w:p>
      <w:pPr>
        <w:pStyle w:val="aff3"/>
        <w:spacing w:line="259" w:lineRule="auto"/>
      </w:pPr>
      <w:r>
        <w:rPr>
          <w:rFonts w:ascii="KoPubWorld바탕체_Pro Light" w:hAnsi="KoPubWorld바탕체_Pro Light" w:eastAsia="KoPubWorld바탕체_Pro Light" w:cs="KoPubWorld바탕체_Pro Light"/>
          <w:sz w:val="16"/>
        </w:rPr>
        <w:t>화폐발행권은 그래서 단순한 제조 독점이 아니었다. 국가는 어떤 금속을 어떤 비율로 주조할지 정하고, 조폐비용을 부담하거나 주조차익을 얻으며, 위조를 처벌했다. 상인은 동전의 무게를 달고 순도를 시험했고, 환전상은 서로 다른 도시와 군주의 주화를 비교했다. 한 시장 안에 여러 주화가 공존할수록 ‘돈을 받는 일’은 곧 품질검사였다. 화폐규제는 거래비용을 줄이는 표준화 정책이었다.</w:t>
      </w:r>
    </w:p>
    <w:p>
      <w:pPr>
        <w:pStyle w:val="aff3"/>
        <w:spacing w:line="259" w:lineRule="auto"/>
      </w:pPr>
      <w:r>
        <w:rPr>
          <w:rFonts w:ascii="KoPubWorld바탕체_Pro Light" w:hAnsi="KoPubWorld바탕체_Pro Light" w:eastAsia="KoPubWorld바탕체_Pro Light" w:cs="KoPubWorld바탕체_Pro Light"/>
          <w:sz w:val="16"/>
        </w:rPr>
        <w:t>그러나 표준을 정하는 권력은 남용될 수 있었다. 군주는 같은 액면의 동전에 들어가는 귀금속을 줄여 재정을 마련할 수 있었다. 전쟁비용을 세금으로 즉시 걷기 어려울 때 주화의 함량을 낮추면, 국가는 새 동전을 더 많이 만들 수 있다. 그 이익은 먼저 발행자에게 가고, 가격이 오른 뒤 돈을 받는 사람에게 손실이 간다. 주화의 평가절하는 눈에 잘 보이지 않는 조세였다.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악화가 양화를 밀어내는 과정</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사람들은 금속의 무게를 모르는 수동적 사용자가 아니었다. 온전한 은화와 깎인 은화가 같은 액면으로 통용되면, 무거운 동전은 저장하거나 녹이고 가벼운 동전으로 지급한다. 법이 둘을 같은 돈이라 부를수록 실제 유통에서는 품질이 낮은 쪽이 남는다. 후대에 ‘악화가 양화를 구축한다’고 정리된 현상은 법정가격과 금속가격의 차이에서 자랐다.</w:t>
      </w:r>
    </w:p>
    <w:p>
      <w:pPr>
        <w:pStyle w:val="aff3"/>
        <w:spacing w:line="259" w:lineRule="auto"/>
      </w:pPr>
      <w:r>
        <w:rPr>
          <w:rFonts w:ascii="KoPubWorld바탕체_Pro Light" w:hAnsi="KoPubWorld바탕체_Pro Light" w:eastAsia="KoPubWorld바탕체_Pro Light" w:cs="KoPubWorld바탕체_Pro Light"/>
          <w:sz w:val="16"/>
        </w:rPr>
        <w:t>정부는 수취를 거부하는 사람을 처벌하고, 동전을 훼손하거나 국외로 빼돌리는 행위를 금지할 수 있었다. 하지만 시장에서 은의 가치가 액면보다 높다면 형벌만으로 유출을 멈추기는 어려웠다. 주화는 국경 안에서 왕의 명령을 따르지만, 금속은 국경 밖에서 무게로 거래된다. 화폐주권은 법의 힘과 상품시장의 가격 사이에 놓였다.</w:t>
      </w:r>
    </w:p>
    <w:p>
      <w:pPr>
        <w:pStyle w:val="aff3"/>
        <w:spacing w:line="259" w:lineRule="auto"/>
      </w:pPr>
      <w:r>
        <w:rPr>
          <w:rFonts w:ascii="KoPubWorld바탕체_Pro Light" w:hAnsi="KoPubWorld바탕체_Pro Light" w:eastAsia="KoPubWorld바탕체_Pro Light" w:cs="KoPubWorld바탕체_Pro Light"/>
          <w:sz w:val="16"/>
        </w:rPr>
        <w:t>위조는 이 긴장을 더 날카롭게 했다. 가짜 주화는 발행자의 주조차익을 훔칠 뿐 아니라 모든 동전에 대한 의심을 키웠다. 그래서 주화위조는 보통 사적 사기보다 훨씬 무거운 범죄로 취급되었다. 처벌의 잔혹함은 화폐가 통치질서와 얼마나 가까웠는지를 보여 준다. 그렇지만 강한 형벌도 정교한 위조기술과 큰 이익을 완전히 없애지는 못했다. 믿을 만한 돈을 만들려면 범인을 잡는 것과 함께 위조하기 어려운 물건을 설계해야 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가장자리가 규제가 되다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기계주조는 이 문제에 기술적 답을 주었다. 일정한 두께와 원형, 글자나 무늬가 있는 가장자리는 동전을 조금만 깎아도 흔적이 드러나게 했다. 영국 조폐 관련 자료는 1660년대 기계식 압연기와 나사식 압인기가 도입되어 더 두껍고 균일하며 가장자리를 가공할 수 있는 동전이 생산되었다고 설명한다.</w:t>
      </w:r>
      <w:r>
        <w:rPr>
          <w:rFonts w:ascii="KoPubWorld바탕체_Pro Light" w:hAnsi="KoPubWorld바탕체_Pro Light" w:eastAsia="KoPubWorld바탕체_Pro Light" w:cs="KoPubWorld바탕체_Pro Light"/>
          <w:sz w:val="14"/>
          <w:vertAlign w:val="superscript"/>
        </w:rPr>
        <w:t>13</w:t>
      </w:r>
      <w:r>
        <w:rPr>
          <w:rFonts w:ascii="KoPubWorld바탕체_Pro Light" w:hAnsi="KoPubWorld바탕체_Pro Light" w:eastAsia="KoPubWorld바탕체_Pro Light" w:cs="KoPubWorld바탕체_Pro Light"/>
          <w:sz w:val="16"/>
        </w:rPr>
        <w:t xml:space="preserve"> 규칙을 지키라고 명령하는 대신, 위반이 눈에 보이도록 물건 자체를 바꾼 것이다.</w:t>
      </w:r>
    </w:p>
    <w:p>
      <w:pPr>
        <w:pStyle w:val="aff3"/>
        <w:spacing w:line="259" w:lineRule="auto"/>
      </w:pPr>
      <w:r>
        <w:rPr>
          <w:rFonts w:ascii="KoPubWorld바탕체_Pro Light" w:hAnsi="KoPubWorld바탕체_Pro Light" w:eastAsia="KoPubWorld바탕체_Pro Light" w:cs="KoPubWorld바탕체_Pro Light"/>
          <w:sz w:val="16"/>
        </w:rPr>
        <w:t>이것은 초기의 ‘설계에 의한 규제’였다. 오늘날 지급결제 시스템이 이중지급을 막고, 은행 전산망이 승인한도 밖의 거래를 차단하듯, 동전의 가장자리는 훼손을 탐지하는 장치였다. 법과 기술이 따로 작동한 것이 아니다. 기술은 법이 무엇을 위조로 볼지 분명하게 했고, 법은 새 주화의 표준을 강제했다.</w:t>
      </w:r>
    </w:p>
    <w:p>
      <w:pPr>
        <w:pStyle w:val="aff3"/>
        <w:spacing w:line="259" w:lineRule="auto"/>
      </w:pPr>
      <w:r>
        <w:rPr>
          <w:rFonts w:ascii="KoPubWorld바탕체_Pro Light" w:hAnsi="KoPubWorld바탕체_Pro Light" w:eastAsia="KoPubWorld바탕체_Pro Light" w:cs="KoPubWorld바탕체_Pro Light"/>
          <w:sz w:val="16"/>
        </w:rPr>
        <w:t>그러나 기계로 만든 새 은화만 발행한다고 문제가 끝나지 않았다. 오래된 손주화가 계속 돌면 사람들은 새 동전을 골라 녹였다. 낡은 화폐를 한꺼번에 회수하고, 정해진 기준으로 다시 찍어 내며, 그 사이의 지급수단 부족을 견뎌야 했다. 재주조는 금속공학의 문제가 아니라 물류와 신용의 문제였다.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1696년, 나라의 돈을 다시 찍다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1696년 1월 의회는 잉글랜드 은화의 상태를 바로잡기 위한 법률을 통과시켰다. 런던 조폐국만으로는 물량을 감당하기 어려워 요크·브리스틀·엑서터·체스터·노리치에 임시 조폐시설이 운영되었고, 작업은 1699년까지 이어졌다.</w:t>
      </w:r>
      <w:r>
        <w:rPr>
          <w:rFonts w:ascii="KoPubWorld바탕체_Pro Light" w:hAnsi="KoPubWorld바탕체_Pro Light" w:eastAsia="KoPubWorld바탕체_Pro Light" w:cs="KoPubWorld바탕체_Pro Light"/>
          <w:sz w:val="14"/>
          <w:vertAlign w:val="superscript"/>
        </w:rPr>
        <w:t>12</w:t>
      </w:r>
      <w:r>
        <w:rPr>
          <w:rFonts w:ascii="KoPubWorld바탕체_Pro Light" w:hAnsi="KoPubWorld바탕체_Pro Light" w:eastAsia="KoPubWorld바탕체_Pro Light" w:cs="KoPubWorld바탕체_Pro Light"/>
          <w:sz w:val="16"/>
        </w:rPr>
        <w:t xml:space="preserve"> 오래된 은화를 녹여 엘리자베스 시대의 중량기준에 맞춰 다시 주조하는 거대한 국가사업이었다.</w:t>
      </w:r>
    </w:p>
    <w:p>
      <w:pPr>
        <w:pStyle w:val="aff3"/>
        <w:spacing w:line="259" w:lineRule="auto"/>
      </w:pPr>
      <w:r>
        <w:rPr>
          <w:rFonts w:ascii="KoPubWorld바탕체_Pro Light" w:hAnsi="KoPubWorld바탕체_Pro Light" w:eastAsia="KoPubWorld바탕체_Pro Light" w:cs="KoPubWorld바탕체_Pro Light"/>
          <w:sz w:val="16"/>
        </w:rPr>
        <w:t>정책 선택은 치열했다. 은 함량을 현실의 시장가치에 맞춰 낮출 것인가, 예전 기준을 지킬 것인가. 함량을 낮추면 채무의 실질가치가 변하고, 기존 화폐 보유자가 손실을 본다. 기준을 지키면 국고가 재주조 비용과 부족분을 부담하며, 은화가 다시 국외로 유출될 가능성이 남는다. 존 로크는 화폐단위의 연속성과 채권자의 권리를 중시했고, 윌리엄 라운즈 등은 조정을 주장했다. 의회는 기존 기준을 택했다.</w:t>
      </w:r>
      <w:r>
        <w:rPr>
          <w:rFonts w:ascii="KoPubWorld바탕체_Pro Light" w:hAnsi="KoPubWorld바탕체_Pro Light" w:eastAsia="KoPubWorld바탕체_Pro Light" w:cs="KoPubWorld바탕체_Pro Light"/>
          <w:sz w:val="14"/>
          <w:vertAlign w:val="superscript"/>
        </w:rPr>
        <w:t>12</w:t>
      </w:r>
    </w:p>
    <w:p>
      <w:pPr>
        <w:pStyle w:val="aff3"/>
        <w:spacing w:line="259" w:lineRule="auto"/>
      </w:pPr>
      <w:r>
        <w:rPr>
          <w:rFonts w:ascii="KoPubWorld바탕체_Pro Light" w:hAnsi="KoPubWorld바탕체_Pro Light" w:eastAsia="KoPubWorld바탕체_Pro Light" w:cs="KoPubWorld바탕체_Pro Light"/>
          <w:sz w:val="16"/>
        </w:rPr>
        <w:t>아이작 뉴턴은 1696년 조폐국 감사관이 되었고, 뒤이어 조폐국장이 되었다. 과학자의 명성보다 이 시기에는 생산관리와 위조수사, 기소에 깊이 관여한 행정가의 얼굴이 중요하다. 왕립조폐국 자료도 뉴턴이 오래된 은화의 재주조와 위조 대응을 맡았음을 기록한다.</w:t>
      </w:r>
      <w:r>
        <w:rPr>
          <w:rFonts w:ascii="KoPubWorld바탕체_Pro Light" w:hAnsi="KoPubWorld바탕체_Pro Light" w:eastAsia="KoPubWorld바탕체_Pro Light" w:cs="KoPubWorld바탕체_Pro Light"/>
          <w:sz w:val="14"/>
          <w:vertAlign w:val="superscript"/>
        </w:rPr>
        <w:t>14</w:t>
      </w:r>
      <w:r>
        <w:rPr>
          <w:rFonts w:ascii="KoPubWorld바탕체_Pro Light" w:hAnsi="KoPubWorld바탕체_Pro Light" w:eastAsia="KoPubWorld바탕체_Pro Light" w:cs="KoPubWorld바탕체_Pro Light"/>
          <w:sz w:val="16"/>
        </w:rPr>
        <w:t xml:space="preserve"> 화폐의 신뢰는 천재 한 사람의 발견이 아니라 의회의 선택, 세금, 지역 조폐망, 금속공과 수사관의 집행이 함께 만든 결과였다.</w:t>
      </w:r>
    </w:p>
    <w:p>
      <w:pPr>
        <w:pStyle w:val="aff3"/>
        <w:spacing w:line="259" w:lineRule="auto"/>
      </w:pPr>
      <w:r>
        <w:rPr>
          <w:rFonts w:ascii="KoPubWorld바탕체_Pro Light" w:hAnsi="KoPubWorld바탕체_Pro Light" w:eastAsia="KoPubWorld바탕체_Pro Light" w:cs="KoPubWorld바탕체_Pro Light"/>
          <w:sz w:val="16"/>
        </w:rPr>
        <w:t>재주조는 깎인 은화를 없애는 데 기여했지만, 은과 금의 상대가격 문제까지 해결하지는 못했다. 법이 정한 비율과 국제시장의 비율이 다르면 더 비싸게 평가되는 금속은 계속 빠져나간다. 이후 영국이 사실상 금 중심의 통화질서로 이동한 과정은 화폐주권이 국제 차익거래를 완전히 이길 수 없음을 보여 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재주조의 비용은 누가 냈는가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낡은 은화를 새 기준으로 바꾸는 동안 사람들은 일상적인 지급수단 부족을 겪었다. 임금과 세금, 소매거래는 기다려 주지 않았다. 온전한 금속량을 기준으로 교환하면 깎인 동전을 가진 사람에게 손실이 집중되고, 액면을 기준으로 보상하면 국고가 차액을 부담한다. 어느 쪽도 비용을 없애지 않는다. 재주조는 기술적 정상화처럼 보이지만 실은 가치하락의 손실을 시민과 납세자 사이에 배분하는 선택이었다.</w:t>
      </w:r>
    </w:p>
    <w:p>
      <w:pPr>
        <w:pStyle w:val="aff3"/>
        <w:spacing w:line="259" w:lineRule="auto"/>
      </w:pPr>
      <w:r>
        <w:rPr>
          <w:rFonts w:ascii="KoPubWorld바탕체_Pro Light" w:hAnsi="KoPubWorld바탕체_Pro Light" w:eastAsia="KoPubWorld바탕체_Pro Light" w:cs="KoPubWorld바탕체_Pro Light"/>
          <w:sz w:val="16"/>
        </w:rPr>
        <w:t>누가 깎인 동전을 마지막으로 들고 있었는지도 중요하다. 정보가 빠른 상인과 금세공인은 무게가 좋은 동전을 골라 저장하거나 해외로 보낼 수 있었다. 일용노동자와 소매상은 선택권이 적었다. 위기가 공개되면 나쁜 돈은 더 빠르게 가장 약한 손으로 흘러갈 수 있다. 화폐개혁의 공정성은 최종 기준뿐 아니라 발표 시점, 교환창구, 소액보유자에 대한 보상에서 결정된다.</w:t>
      </w:r>
    </w:p>
    <w:p>
      <w:pPr>
        <w:pStyle w:val="aff3"/>
        <w:spacing w:line="259" w:lineRule="auto"/>
      </w:pPr>
      <w:r>
        <w:rPr>
          <w:rFonts w:ascii="KoPubWorld바탕체_Pro Light" w:hAnsi="KoPubWorld바탕체_Pro Light" w:eastAsia="KoPubWorld바탕체_Pro Light" w:cs="KoPubWorld바탕체_Pro Light"/>
          <w:sz w:val="16"/>
        </w:rPr>
        <w:t>국가는 재주조 비용을 세금과 차입으로 마련했다. 이것은 화폐의 신뢰를 회복하는 비용을 사회 전체가 부담한다는 뜻이다. 위조와 깎기는 일부의 행위였지만, 무너진 단위는 모두의 거래를 방해했다. 공공재를 복구한다는 논리는 공동부담을 정당화한다. 반면 정책실패와 느슨한 관리의 책임까지 일반 납세자에게 넘긴다는 비판도 가능하다. 이후 은행구제에서도 반복될 논쟁이다.</w:t>
      </w:r>
    </w:p>
    <w:p>
      <w:pPr>
        <w:pStyle w:val="aff3"/>
        <w:spacing w:line="259" w:lineRule="auto"/>
      </w:pPr>
      <w:r>
        <w:rPr>
          <w:rFonts w:ascii="KoPubWorld바탕체_Pro Light" w:hAnsi="KoPubWorld바탕체_Pro Light" w:eastAsia="KoPubWorld바탕체_Pro Light" w:cs="KoPubWorld바탕체_Pro Light"/>
          <w:sz w:val="16"/>
        </w:rPr>
        <w:t>재주조가 끝난 뒤 승자는 새 동전을 받은 사람만이 아니었다. 국가의 조세징수와 국채시장도 더 안정된 단위의 이익을 얻었다. 상인은 무게를 확인하는 비용을 줄였고, 채권자는 계약한 단위의 연속성을 지켰다. 반대로 채무자는 평가절하를 통한 부담 완화의 가능성을 잃었다. ‘건전한 돈’은 모두에게 같은 효과를 주지 않는다. 가치의 안정은 장기계약을 돕지만, 이미 진 빚의 실질가치도 보존한다.</w:t>
      </w:r>
    </w:p>
    <w:p>
      <w:pPr>
        <w:pStyle w:val="aff3"/>
        <w:spacing w:line="259" w:lineRule="auto"/>
      </w:pPr>
      <w:r>
        <w:rPr>
          <w:rFonts w:ascii="KoPubWorld바탕체_Pro Light" w:hAnsi="KoPubWorld바탕체_Pro Light" w:eastAsia="KoPubWorld바탕체_Pro Light" w:cs="KoPubWorld바탕체_Pro Light"/>
          <w:sz w:val="16"/>
        </w:rPr>
        <w:t>이 때문에 화폐정책은 언제나 도덕적 언어를 동반했다. 온전한 동전은 정직하고, 깎인 동전은 부패한 것으로 묘사된다. 하지만 어떤 함량을 온전하다고 정할지는 정치가 결정한다. 기준을 유지하는 것이 신뢰를 지키는 길일 수도 있고, 경제가 감당할 수 없는 채무를 고정하는 길일 수도 있다. 화폐의 기술적 정확성과 사회적 정당성은 같지 않다.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동전에서 단위로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19세기에는 화폐의 핵심이 특정 은화 한 닢보다 국가가 보장하는 계산단위와 은행의 지급약속으로 옮겨 갔다. 영국의 Coinage Act 1816은 나폴레옹 전쟁 뒤 주화체계를 정비하는 법적 기반이 되었고, 대규모 재주조가 이어졌다.</w:t>
      </w:r>
      <w:r>
        <w:rPr>
          <w:rFonts w:ascii="KoPubWorld바탕체_Pro Light" w:hAnsi="KoPubWorld바탕체_Pro Light" w:eastAsia="KoPubWorld바탕체_Pro Light" w:cs="KoPubWorld바탕체_Pro Light"/>
          <w:sz w:val="14"/>
          <w:vertAlign w:val="superscript"/>
        </w:rPr>
        <w:t>15</w:t>
      </w:r>
      <w:r>
        <w:rPr>
          <w:rFonts w:ascii="KoPubWorld바탕체_Pro Light" w:hAnsi="KoPubWorld바탕체_Pro Light" w:eastAsia="KoPubWorld바탕체_Pro Light" w:cs="KoPubWorld바탕체_Pro Light"/>
          <w:sz w:val="16"/>
        </w:rPr>
        <w:t xml:space="preserve"> 그러나 종이와 예금이 늘어도 주화규제의 질문은 사라지지 않았다. 누가 단위를 정하는가, 어떤 지급수단으로 공적 채무를 끝낼 수 있는가, 발행이익과 가치하락의 손실은 누구에게 가는가.</w:t>
      </w:r>
    </w:p>
    <w:p>
      <w:pPr>
        <w:pStyle w:val="aff3"/>
        <w:spacing w:line="259" w:lineRule="auto"/>
      </w:pPr>
      <w:r>
        <w:rPr>
          <w:rFonts w:ascii="KoPubWorld바탕체_Pro Light" w:hAnsi="KoPubWorld바탕체_Pro Light" w:eastAsia="KoPubWorld바탕체_Pro Light" w:cs="KoPubWorld바탕체_Pro Light"/>
          <w:sz w:val="16"/>
        </w:rPr>
        <w:t>미국 헌법은 연방의회에 화폐를 주조하고 그 가치를 정하며 위조를 처벌할 권한을 주는 한편, 주 정부가 독자적으로 화폐를 주조하거나 신용증서를 발행하는 것을 제한했다.</w:t>
      </w:r>
      <w:r>
        <w:rPr>
          <w:rFonts w:ascii="KoPubWorld바탕체_Pro Light" w:hAnsi="KoPubWorld바탕체_Pro Light" w:eastAsia="KoPubWorld바탕체_Pro Light" w:cs="KoPubWorld바탕체_Pro Light"/>
          <w:sz w:val="14"/>
          <w:vertAlign w:val="superscript"/>
        </w:rPr>
        <w:t>16</w:t>
      </w:r>
      <w:r>
        <w:rPr>
          <w:rFonts w:ascii="KoPubWorld바탕체_Pro Light" w:hAnsi="KoPubWorld바탕체_Pro Light" w:eastAsia="KoPubWorld바탕체_Pro Light" w:cs="KoPubWorld바탕체_Pro Light"/>
          <w:sz w:val="16"/>
        </w:rPr>
        <w:t xml:space="preserve"> 새 연방국가에서 화폐주권은 연방주의의 핵심 쟁점이었다. 통일된 단위는 주 사이의 거래를 쉽게 했지만, 발행권을 중앙에 모았다. 이후 은행권과 중앙은행을 둘러싼 미국의 갈등은 ‘통일된 돈’과 ‘분산된 권력’의 충돌로 이어졌다.</w:t>
      </w:r>
    </w:p>
    <w:p>
      <w:pPr>
        <w:pStyle w:val="aff3"/>
        <w:spacing w:line="259" w:lineRule="auto"/>
      </w:pPr>
      <w:r>
        <w:rPr>
          <w:rFonts w:ascii="KoPubWorld바탕체_Pro Light" w:hAnsi="KoPubWorld바탕체_Pro Light" w:eastAsia="KoPubWorld바탕체_Pro Light" w:cs="KoPubWorld바탕체_Pro Light"/>
          <w:sz w:val="16"/>
        </w:rPr>
        <w:t>통일된 주화는 정치공동체의 경계도 그었다. 세금을 어떤 돈으로 낼 수 있는지, 법원이 어떤 단위로 판결하는지, 군인이 어느 돈으로 급료를 받는지가 같아질 때 국가는 일상 속에 들어온다. 지역의 주화와 외국 은화가 사라지는 과정은 편리함의 확대인 동시에 중앙권력의 확대였다. 화폐주권은 국기나 영토만큼 구체적인 국가형성의 도구였다.</w:t>
      </w:r>
    </w:p>
    <w:p>
      <w:pPr>
        <w:pStyle w:val="aff3"/>
        <w:spacing w:line="259" w:lineRule="auto"/>
      </w:pPr>
      <w:r>
        <w:rPr>
          <w:rFonts w:ascii="KoPubWorld바탕체_Pro Light" w:hAnsi="KoPubWorld바탕체_Pro Light" w:eastAsia="KoPubWorld바탕체_Pro Light" w:cs="KoPubWorld바탕체_Pro Light"/>
          <w:sz w:val="16"/>
        </w:rPr>
        <w:t>종이은행권과 예금이 주화를 압도한 뒤에도 발행권 논쟁은 같은 구조를 유지했다. 액면가치가 재료가치와 멀어질수록 믿음은 발행자의 재무상태와 상환약속, 법의 강제력에 더 의존한다. 금속은 위조될 수 있었고 종이는 남발될 수 있었다. 어떤 형태든 돈의 품질을 감시할 제도와 실패 시 손실배분 규칙이 필요했다.</w:t>
      </w:r>
    </w:p>
    <w:p>
      <w:pPr>
        <w:pStyle w:val="aff3"/>
        <w:spacing w:line="259" w:lineRule="auto"/>
      </w:pPr>
      <w:r>
        <w:rPr>
          <w:rFonts w:ascii="KoPubWorld바탕체_Pro Light" w:hAnsi="KoPubWorld바탕체_Pro Light" w:eastAsia="KoPubWorld바탕체_Pro Light" w:cs="KoPubWorld바탕체_Pro Light"/>
          <w:sz w:val="16"/>
        </w:rPr>
        <w:t>주화의 역사가 주는 교훈은 돈의 가치가 금속에만 있지도, 법률에만 있지도 않다는 것이다. 금속 함량은 법의 약속을 시험하고, 법정통용력은 금속 조각을 계산단위로 바꾼다. 기술은 위조를 어렵게 하지만 새로운 위조를 부르고, 통일된 표준은 거래비용을 낮추지만 발행자의 권력을 키운다.</w:t>
      </w:r>
    </w:p>
    <w:p>
      <w:pPr>
        <w:pStyle w:val="aff3"/>
        <w:spacing w:line="259" w:lineRule="auto"/>
      </w:pPr>
      <w:r>
        <w:rPr>
          <w:rFonts w:ascii="KoPubWorld바탕체_Pro Light" w:hAnsi="KoPubWorld바탕체_Pro Light" w:eastAsia="KoPubWorld바탕체_Pro Light" w:cs="KoPubWorld바탕체_Pro Light"/>
          <w:sz w:val="16"/>
        </w:rPr>
        <w:t>동전의 가장자리는 작다. 그러나 그 홈에는 금융규제의 큰 원리가 새겨져 있다. 좋은 규제는 금지문을 붙이는 데 그치지 않고, 위반을 어렵게 하고 품질을 확인하기 쉽게 만든다. 동시에 설계자는 자신이 얻는 발행이익과 시민이 떠안는 교환비용을 숨길 수 있다. 돈은 모두가 쓰는 공공의 언어이지만, 그 문법을 정하는 권한은 결코 중립적이지 않다. 주화위기는 국가가 시장 밖에서 돈을 통제한 사건이 아니라, 국가가 ‘돈’이라는 시장의 공통척도를 다시 만든 사건이었다.</w:t>
      </w:r>
    </w:p>
    <w:p>
      <w:pPr>
        <w:pStyle w:val="aff2"/>
        <w:pageBreakBefore/>
        <w:spacing w:before="440"/>
        <w:jc w:val="center"/>
      </w:pPr>
      <w:r>
        <w:rPr>
          <w:rFonts w:ascii="KoPubWorld바탕체_Pro Bold" w:hAnsi="KoPubWorld바탕체_Pro Bold" w:eastAsia="KoPubWorld바탕체_Pro Bold" w:cs="KoPubWorld바탕체_Pro Bold"/>
          <w:b/>
          <w:sz w:val="24"/>
        </w:rPr>
        <w:t>Chapter. 04</w:t>
      </w:r>
    </w:p>
    <w:p>
      <w:pPr>
        <w:pStyle w:val="aff1"/>
        <w:jc w:val="center"/>
      </w:pPr>
      <w:r>
        <w:rPr>
          <w:rFonts w:ascii="KoPubWorld바탕체_Pro Bold" w:hAnsi="KoPubWorld바탕체_Pro Bold" w:eastAsia="KoPubWorld바탕체_Pro Bold" w:cs="KoPubWorld바탕체_Pro Bold"/>
          <w:b/>
          <w:sz w:val="28"/>
        </w:rPr>
        <w:t>종이 한 장이 국경을 넘다 — 환어음과 상인법</w:t>
      </w:r>
    </w:p>
    <w:p>
      <w:pPr>
        <w:spacing w:before="60" w:after="0"/>
      </w:pP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피렌체의 직물상이 브뤼헤의 구매자에게 천을 보냈다고 하자. 은화를 자루에 담아 알프스와 강, 해적이 나타나는 바다를 건너 보내는 일은 느리고 위험하다. 구매자는 현지의 환전상에게 돈을 맡기고 한 장의 문서를 받는다. 문서는 다른 도시의 거래상에게 일정한 날, 일정한 사람에게 돈을 지급하라고 지시한다. 종이는 가볍지만 그 위에는 여러 사람의 신용과 두 도시의 환율, 법정에서 집행될 약속이 겹쳐 있다.</w:t>
      </w:r>
    </w:p>
    <w:p>
      <w:pPr>
        <w:pStyle w:val="aff3"/>
        <w:spacing w:line="259" w:lineRule="auto"/>
      </w:pPr>
      <w:r>
        <w:rPr>
          <w:rFonts w:ascii="KoPubWorld바탕체_Pro Light" w:hAnsi="KoPubWorld바탕체_Pro Light" w:eastAsia="KoPubWorld바탕체_Pro Light" w:cs="KoPubWorld바탕체_Pro Light"/>
          <w:sz w:val="16"/>
        </w:rPr>
        <w:t>환어음은 돈을 멀리 옮기는 방법이면서 시간을 사고파는 계약이었다. 물건은 오늘 도착하지만 대금은 몇 주 뒤 다른 장소에서 지급된다. 문서의 소지자는 만기까지 기다리거나, 그 전에 할인하여 현금으로 바꾼다. 하나의 상거래 채권이 다른 사람에게 넘어가며 지급수단과 신용상품이 된다. 은화가 국가의 표준을 필요로 했다면, 환어음은 서로 모르는 상인이 믿을 수 있는 절차를 필요로 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네 사람의 약속이 한 장에 들어가다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환어음의 기본 구조는 간단해 보인다. 발행인이 지급인에게 특정 수취인 또는 그 지시를 받은 사람에게 일정액을 지급하라고 쓴다. 지급인이 ‘인수’하면 자신의 지급의무를 확인한다. 수취인이 뒷면에 배서하여 다른 사람에게 넘기면 새 소지자가 권리를 행사한다. 오늘날 영국 법이 정의하는 환어음도 한 사람이 다른 사람에게 서면으로 무조건 지시하여, 요구할 때나 정해진 시점에 특정 금액을 지급하게 하는 문서라는 뼈대를 갖는다.</w:t>
      </w:r>
      <w:r>
        <w:rPr>
          <w:rFonts w:ascii="KoPubWorld바탕체_Pro Light" w:hAnsi="KoPubWorld바탕체_Pro Light" w:eastAsia="KoPubWorld바탕체_Pro Light" w:cs="KoPubWorld바탕체_Pro Light"/>
          <w:sz w:val="14"/>
          <w:vertAlign w:val="superscript"/>
        </w:rPr>
        <w:t>17</w:t>
      </w:r>
    </w:p>
    <w:p>
      <w:pPr>
        <w:pStyle w:val="aff3"/>
        <w:spacing w:line="259" w:lineRule="auto"/>
      </w:pPr>
      <w:r>
        <w:rPr>
          <w:rFonts w:ascii="KoPubWorld바탕체_Pro Light" w:hAnsi="KoPubWorld바탕체_Pro Light" w:eastAsia="KoPubWorld바탕체_Pro Light" w:cs="KoPubWorld바탕체_Pro Light"/>
          <w:sz w:val="16"/>
        </w:rPr>
        <w:t>하지만 이 단순한 문장 뒤에는 신용의 층이 있다. 물건 구매자의 신용이 약해도 이름난 상인이나 은행이 어음을 인수하면, 판매자는 그 인수인의 지급능력을 믿을 수 있다. 영란은행 연구는 19세기 인수상사가 구매자·판매자 사이에 들어가 수수료를 받고 지급을 보증함으로써 정보의 비대칭을 줄였다고 설명한다.</w:t>
      </w:r>
      <w:r>
        <w:rPr>
          <w:rFonts w:ascii="KoPubWorld바탕체_Pro Light" w:hAnsi="KoPubWorld바탕체_Pro Light" w:eastAsia="KoPubWorld바탕체_Pro Light" w:cs="KoPubWorld바탕체_Pro Light"/>
          <w:sz w:val="14"/>
          <w:vertAlign w:val="superscript"/>
        </w:rPr>
        <w:t>18</w:t>
      </w:r>
      <w:r>
        <w:rPr>
          <w:rFonts w:ascii="KoPubWorld바탕체_Pro Light" w:hAnsi="KoPubWorld바탕체_Pro Light" w:eastAsia="KoPubWorld바탕체_Pro Light" w:cs="KoPubWorld바탕체_Pro Light"/>
          <w:sz w:val="16"/>
        </w:rPr>
        <w:t xml:space="preserve"> 한 사람의 평판이 다른 사람의 채무에 붙으면서 문서는 더 넓은 시장에서 팔릴 수 있었다.</w:t>
      </w:r>
    </w:p>
    <w:p>
      <w:pPr>
        <w:pStyle w:val="aff3"/>
        <w:spacing w:line="259" w:lineRule="auto"/>
      </w:pPr>
      <w:r>
        <w:rPr>
          <w:rFonts w:ascii="KoPubWorld바탕체_Pro Light" w:hAnsi="KoPubWorld바탕체_Pro Light" w:eastAsia="KoPubWorld바탕체_Pro Light" w:cs="KoPubWorld바탕체_Pro Light"/>
          <w:sz w:val="16"/>
        </w:rPr>
        <w:t>어음은 따라서 ‘민간이 만든 돈’과 닮았다. 모든 사람이 받아야 할 법정화폐는 아니지만, 믿을 만한 이름이 서명했고 만기가 짧으면 현금에 가깝게 거래된다. 은행은 어음을 만기 전 액면보다 싸게 사서 자금을 공급했고, 중앙은행은 일정한 조건의 어음을 다시 할인했다. 영란은행은 창립 초기부터 국내외 환어음과 약속어음을 할인했고, 훗날 적격어음은 통화운영의 중요한 수단이 되었다.</w:t>
      </w:r>
      <w:r>
        <w:rPr>
          <w:rFonts w:ascii="KoPubWorld바탕체_Pro Light" w:hAnsi="KoPubWorld바탕체_Pro Light" w:eastAsia="KoPubWorld바탕체_Pro Light" w:cs="KoPubWorld바탕체_Pro Light"/>
          <w:sz w:val="14"/>
          <w:vertAlign w:val="superscript"/>
        </w:rPr>
        <w:t>19</w:t>
      </w:r>
    </w:p>
    <w:p>
      <w:pPr>
        <w:pStyle w:val="aff3"/>
        <w:spacing w:line="259" w:lineRule="auto"/>
      </w:pPr>
      <w:r>
        <w:rPr>
          <w:rFonts w:ascii="KoPubWorld바탕체_Pro Light" w:hAnsi="KoPubWorld바탕체_Pro Light" w:eastAsia="KoPubWorld바탕체_Pro Light" w:cs="KoPubWorld바탕체_Pro Light"/>
          <w:sz w:val="16"/>
        </w:rPr>
        <w:t>여기서 인수인의 이름은 오늘날의 신용등급과 비슷한 압축정보가 되었다. 판매자가 먼 구매자의 창고와 장부를 조사하기는 어렵지만, 유명 인수상사의 서명은 시장이 이미 알고 있었다. 정보비용이 줄면서 어음은 원래 거래 당사자 밖으로 더 쉽게 유통되었다. 그러나 이름에 대한 믿음이 지나치면 사람들은 그 이름 뒤의 자산과 보증한 총액을 살피지 않는다. 신뢰의 압축은 동시에 정보의 생략이었다.</w:t>
      </w:r>
    </w:p>
    <w:p>
      <w:pPr>
        <w:pStyle w:val="aff3"/>
        <w:spacing w:line="259" w:lineRule="auto"/>
      </w:pPr>
      <w:r>
        <w:rPr>
          <w:rFonts w:ascii="KoPubWorld바탕체_Pro Light" w:hAnsi="KoPubWorld바탕체_Pro Light" w:eastAsia="KoPubWorld바탕체_Pro Light" w:cs="KoPubWorld바탕체_Pro Light"/>
          <w:sz w:val="16"/>
        </w:rPr>
        <w:t>은행이 어떤 어음을 할인해 주는지도 시장의 경계를 정했다. 짧은 만기, 실제 상품거래, 평판 좋은 서명을 갖춘 문서는 낮은 할인율을 얻었고, 신생 상인과 주변지역의 문서는 비싼 자금을 감수했다. 법적 양도성만으로 유동성이 생기지 않았다. 사적 심사기준과 중앙은행의 적격성 기준이 ‘좋은 어음’을 만들어 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거리와 시간을 가격으로 바꾸다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환어음의 첫 장점은 현물 동전의 운송을 줄이는 것이었다. 여러 상인의 지급을 장부에서 상계하면 실제로 국경을 넘는 은의 양이 줄었다. 도난과 침몰의 위험도 작아졌다. 두 번째 장점은 외환이다. 서로 다른 도시의 통화로 현재와 미래의 지급을 묶으면서 환율과 신용비용을 한 거래 안에서 조정할 수 있었다.</w:t>
      </w:r>
    </w:p>
    <w:p>
      <w:pPr>
        <w:pStyle w:val="aff3"/>
        <w:spacing w:line="259" w:lineRule="auto"/>
      </w:pPr>
      <w:r>
        <w:rPr>
          <w:rFonts w:ascii="KoPubWorld바탕체_Pro Light" w:hAnsi="KoPubWorld바탕체_Pro Light" w:eastAsia="KoPubWorld바탕체_Pro Light" w:cs="KoPubWorld바탕체_Pro Light"/>
          <w:sz w:val="16"/>
        </w:rPr>
        <w:t>바로 그 때문에 환어음은 이자금지와도 만났다. 표면에는 대출과 이자가 없고, 다른 장소와 다른 통화의 지급만 있다. 그러나 현물환율과 선물환율의 차이에 시간의 가격이 숨어 있을 수 있었다. 실제 상거래와 환위험을 수반한 계약인지, 금지된 이자를 감춘 형식인지 판단하기는 쉽지 않았다. 규제가 계약의 이름을 쫓으면 거래자는 경제적 효과를 다른 조항으로 옮겼다.</w:t>
      </w:r>
    </w:p>
    <w:p>
      <w:pPr>
        <w:pStyle w:val="aff3"/>
        <w:spacing w:line="259" w:lineRule="auto"/>
      </w:pPr>
      <w:r>
        <w:rPr>
          <w:rFonts w:ascii="KoPubWorld바탕체_Pro Light" w:hAnsi="KoPubWorld바탕체_Pro Light" w:eastAsia="KoPubWorld바탕체_Pro Light" w:cs="KoPubWorld바탕체_Pro Light"/>
          <w:sz w:val="16"/>
        </w:rPr>
        <w:t>그렇다고 환어음을 고리대금의 위장으로만 볼 수는 없다. 먼 도시의 결제망을 연결하고 통화교환과 신용보증을 제공하는 실제 기능이 있었다. 중요한 것은 이익이 존재한다는 사실이 아니라 누가 어떤 위험을 졌는지다. 지급인이 파산하면 소지자는 누구에게 돌아갈 수 있는가. 위조된 배서는 누구의 손실인가. 만기일이 휴일이면 언제 제시해야 하는가. 상업이 커질수록 종이 한 장의 빈틈을 메우는 규칙이 필요했다.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상인의 관행이 법이 되기까지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국경을 넘는 거래는 한 도시의 법만으로 다루기 어려웠다. 상인은 반복거래 속에서 문서 형식, 만기, 항의, 배서와 보증의 관행을 만들었다. 시장과 박람회의 재판은 일반 법정보다 빠르게 분쟁을 처리하려 했다. 후대에 ‘상인법’이라 불린 이 질서는 국가법 바깥의 완전한 자율법도, 국가가 처음부터 설계한 법도 아니었다. 상인의 관행이 법정에서 인정되고, 판결이 다시 관행을 표준화하는 왕복운동이었다.</w:t>
      </w:r>
    </w:p>
    <w:p>
      <w:pPr>
        <w:pStyle w:val="aff3"/>
        <w:spacing w:line="259" w:lineRule="auto"/>
      </w:pPr>
      <w:r>
        <w:rPr>
          <w:rFonts w:ascii="KoPubWorld바탕체_Pro Light" w:hAnsi="KoPubWorld바탕체_Pro Light" w:eastAsia="KoPubWorld바탕체_Pro Light" w:cs="KoPubWorld바탕체_Pro Light"/>
          <w:sz w:val="16"/>
        </w:rPr>
        <w:t>속도는 중요한 규제목표였다. 만기가 지난 어음을 몇 년 뒤에야 집행할 수 있다면 문서의 시장가치는 떨어진다. 반면 너무 빠른 절차는 위조나 강박을 다툴 기회를 줄일 수 있다. 상인법은 신속성과 방어권 사이의 균형을 찾아야 했다. 표준문구와 정해진 제시기간, 지급거절을 증명하는 절차는 거래를 빠르게 했지만, 그 형식을 모르는 사람에게는 함정이 되었다.</w:t>
      </w:r>
    </w:p>
    <w:p>
      <w:pPr>
        <w:pStyle w:val="aff3"/>
        <w:spacing w:line="259" w:lineRule="auto"/>
      </w:pPr>
      <w:r>
        <w:rPr>
          <w:rFonts w:ascii="KoPubWorld바탕체_Pro Light" w:hAnsi="KoPubWorld바탕체_Pro Light" w:eastAsia="KoPubWorld바탕체_Pro Light" w:cs="KoPubWorld바탕체_Pro Light"/>
          <w:sz w:val="16"/>
        </w:rPr>
        <w:t>평판도 일종의 사적 감독으로 작동했다. 지급을 거절한 상인의 이름이 퍼지면 다음 어음을 할인하기 어려워졌다. 정기적으로 거래하는 상인과 은행은 서로의 ‘좋은 이름’을 평가했다. 그러나 평판시장에는 폐쇄성이 있다. 오래된 네트워크 안의 상인은 유리하고, 새로 들어온 사람과 외국인은 더 높은 할인을 감수해야 한다. 사적 규율은 빠르지만 공정하다는 보장은 없다.</w:t>
      </w:r>
    </w:p>
    <w:p>
      <w:pPr>
        <w:pStyle w:val="aff3"/>
        <w:spacing w:line="259" w:lineRule="auto"/>
      </w:pPr>
      <w:r>
        <w:rPr>
          <w:rFonts w:ascii="KoPubWorld바탕체_Pro Light" w:hAnsi="KoPubWorld바탕체_Pro Light" w:eastAsia="KoPubWorld바탕체_Pro Light" w:cs="KoPubWorld바탕체_Pro Light"/>
          <w:sz w:val="16"/>
        </w:rPr>
        <w:t>상인의 관행을 낭만화해서도 안 된다. 정보는 길드와 가족, 종교·지역 공동체 안에서 돌았고, 외부인은 신뢰할 기회조차 얻지 못할 수 있었다. 분쟁을 빨리 끝내는 재판은 상업을 돕지만, 지위가 약한 당사자의 말을 충분히 듣지 않을 위험도 있었다. ‘시장이 만든 법’ 역시 시장 안의 권력관계를 반영한다.</w:t>
      </w:r>
    </w:p>
    <w:p>
      <w:pPr>
        <w:pStyle w:val="aff3"/>
        <w:spacing w:line="259" w:lineRule="auto"/>
      </w:pPr>
      <w:r>
        <w:rPr>
          <w:rFonts w:ascii="KoPubWorld바탕체_Pro Light" w:hAnsi="KoPubWorld바탕체_Pro Light" w:eastAsia="KoPubWorld바탕체_Pro Light" w:cs="KoPubWorld바탕체_Pro Light"/>
          <w:sz w:val="16"/>
        </w:rPr>
        <w:t>국가법원의 개입은 이 폐쇄성을 일부 깨뜨렸다. 판결이 공개되고 일반규칙이 형성되면, 네트워크 밖의 사람도 어떤 서명이 효력을 갖는지 예측할 수 있다. 반대로 느리고 형식적인 국가절차가 어음의 속도를 따라가지 못하면 상인은 사적 중재로 돌아갔다. 금융법의 발전은 공적 법원과 사적 규율 가운데 하나가 다른 하나를 대체한 과정이 아니라, 서로의 약점을 빌려 보완한 과정이었다.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배서가 만든 유통성, 유통성이 만든 위험</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환어음이 단순한 두 사람의 채권을 넘어선 결정적 변화는 양도 가능성이었다. 수취인이 배서하여 넘기고, 새 소지자가 다시 넘기면 문서는 여러 손을 거친다. 각 소지자가 원래 거래의 모든 사정을 조사해야 한다면 유통은 느려진다. 일정한 요건을 갖춘 선의의 소지자에게 강한 권리를 주면 어음은 현금에 가까워진다.</w:t>
      </w:r>
    </w:p>
    <w:p>
      <w:pPr>
        <w:pStyle w:val="aff3"/>
        <w:spacing w:line="259" w:lineRule="auto"/>
      </w:pPr>
      <w:r>
        <w:rPr>
          <w:rFonts w:ascii="KoPubWorld바탕체_Pro Light" w:hAnsi="KoPubWorld바탕체_Pro Light" w:eastAsia="KoPubWorld바탕체_Pro Light" w:cs="KoPubWorld바탕체_Pro Light"/>
          <w:sz w:val="16"/>
        </w:rPr>
        <w:t>강한 유통성은 손실의 위치를 바꾼다. 원래 매매에 하자가 있어도 선의의 소지자가 지급을 청구할 수 있다면, 발행인이나 인수인이 손실을 먼저 떠안을 수 있다. 반대로 원인관계의 항변을 넓게 인정하면 마지막 소지자가 자신이 알지 못한 분쟁의 위험을 부담한다. 어음법은 거래의 속도를 위해 누구의 방어권을 제한할지 결정했다.</w:t>
      </w:r>
    </w:p>
    <w:p>
      <w:pPr>
        <w:pStyle w:val="aff3"/>
        <w:spacing w:line="259" w:lineRule="auto"/>
      </w:pPr>
      <w:r>
        <w:rPr>
          <w:rFonts w:ascii="KoPubWorld바탕체_Pro Light" w:hAnsi="KoPubWorld바탕체_Pro Light" w:eastAsia="KoPubWorld바탕체_Pro Light" w:cs="KoPubWorld바탕체_Pro Light"/>
          <w:sz w:val="16"/>
        </w:rPr>
        <w:t>위조서명은 이 선택을 극단으로 밀었다. 유통성을 중시해 소지인을 넓게 보호하면 서명을 위조당한 사람에게 뜻밖의 채무가 생길 수 있고, 진정한 서명이 없으면 누구도 책임지지 않는다고 하면 선의의 소지자가 손실을 본다. 어느 쪽이든 범인이 잡히지 않을 때 손실은 남는다. 법은 위험을 제거하지 못하고, 서명을 확인하기 더 쉬웠던 당사자나 거래를 통제할 수 있었던 당사자에게 손실을 배치한다.</w:t>
      </w:r>
    </w:p>
    <w:p>
      <w:pPr>
        <w:pStyle w:val="aff3"/>
        <w:spacing w:line="259" w:lineRule="auto"/>
      </w:pPr>
      <w:r>
        <w:rPr>
          <w:rFonts w:ascii="KoPubWorld바탕체_Pro Light" w:hAnsi="KoPubWorld바탕체_Pro Light" w:eastAsia="KoPubWorld바탕체_Pro Light" w:cs="KoPubWorld바탕체_Pro Light"/>
          <w:sz w:val="16"/>
        </w:rPr>
        <w:t>은행과 상인은 이 법적 배분에 맞춰 내부통제를 만들었다. 서명 견본을 대조하고, 제시 시각을 기록하며, 거래상대의 한도를 정했다. 규정은 계약서 밖의 업무절차로 번역되어야 효과가 있었다. 현대 금융규제가 자본비율 하나로 끝나지 않고 위험관리 체계와 기록보존을 요구하는 것과 같은 이유다.</w:t>
      </w:r>
    </w:p>
    <w:p>
      <w:pPr>
        <w:pStyle w:val="aff3"/>
        <w:spacing w:line="259" w:lineRule="auto"/>
      </w:pPr>
      <w:r>
        <w:rPr>
          <w:rFonts w:ascii="KoPubWorld바탕체_Pro Light" w:hAnsi="KoPubWorld바탕체_Pro Light" w:eastAsia="KoPubWorld바탕체_Pro Light" w:cs="KoPubWorld바탕체_Pro Light"/>
          <w:sz w:val="16"/>
        </w:rPr>
        <w:t>서명의 연쇄는 신용을 넓히지만 충격도 전달한다. 한 인수상사의 이름이 수많은 어음에 붙어 있으면, 그 회사의 실패는 서로 무관해 보이던 상인에게 번진다. 19세기 런던의 할인시장에서 상업은행, 어음중개인, 인수상사와 영란은행은 어음을 매개로 연결되어 있었다.</w:t>
      </w:r>
      <w:r>
        <w:rPr>
          <w:rFonts w:ascii="KoPubWorld바탕체_Pro Light" w:hAnsi="KoPubWorld바탕체_Pro Light" w:eastAsia="KoPubWorld바탕체_Pro Light" w:cs="KoPubWorld바탕체_Pro Light"/>
          <w:sz w:val="14"/>
          <w:vertAlign w:val="superscript"/>
        </w:rPr>
        <w:t>20</w:t>
      </w:r>
      <w:r>
        <w:rPr>
          <w:rFonts w:ascii="KoPubWorld바탕체_Pro Light" w:hAnsi="KoPubWorld바탕체_Pro Light" w:eastAsia="KoPubWorld바탕체_Pro Light" w:cs="KoPubWorld바탕체_Pro Light"/>
          <w:sz w:val="16"/>
        </w:rPr>
        <w:t xml:space="preserve"> 종이가 동전을 대신할수록 결제는 효율적이 되었지만, 네트워크의 중심에 대한 의존도 커졌다.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1882년, 관행을 법률 문장으로 묶다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영국의 Bills of Exchange Act 1882는 환어음, 수표, 약속어음에 관한 기존 법을 성문화했다. 법은 1882년 8월 18일 재가되었고, 발행·인수·배서·소지인·지급거절·면책의 규칙을 하나의 체계로 정리했다.</w:t>
      </w:r>
      <w:r>
        <w:rPr>
          <w:rFonts w:ascii="KoPubWorld바탕체_Pro Light" w:hAnsi="KoPubWorld바탕체_Pro Light" w:eastAsia="KoPubWorld바탕체_Pro Light" w:cs="KoPubWorld바탕체_Pro Light"/>
          <w:sz w:val="14"/>
          <w:vertAlign w:val="superscript"/>
        </w:rPr>
        <w:t>17</w:t>
      </w:r>
      <w:r>
        <w:rPr>
          <w:rFonts w:ascii="KoPubWorld바탕체_Pro Light" w:hAnsi="KoPubWorld바탕체_Pro Light" w:eastAsia="KoPubWorld바탕체_Pro Light" w:cs="KoPubWorld바탕체_Pro Light"/>
          <w:sz w:val="16"/>
        </w:rPr>
        <w:t xml:space="preserve"> 영란은행은 100주년을 맞아 이 법이 오랜 상업관행과 판례를 성공적으로 묶었고 이후에도 핵심 구조가 오래 유지되었다고 평가했다.</w:t>
      </w:r>
      <w:r>
        <w:rPr>
          <w:rFonts w:ascii="KoPubWorld바탕체_Pro Light" w:hAnsi="KoPubWorld바탕체_Pro Light" w:eastAsia="KoPubWorld바탕체_Pro Light" w:cs="KoPubWorld바탕체_Pro Light"/>
          <w:sz w:val="14"/>
          <w:vertAlign w:val="superscript"/>
        </w:rPr>
        <w:t>19</w:t>
      </w:r>
    </w:p>
    <w:p>
      <w:pPr>
        <w:pStyle w:val="aff3"/>
        <w:spacing w:line="259" w:lineRule="auto"/>
      </w:pPr>
      <w:r>
        <w:rPr>
          <w:rFonts w:ascii="KoPubWorld바탕체_Pro Light" w:hAnsi="KoPubWorld바탕체_Pro Light" w:eastAsia="KoPubWorld바탕체_Pro Light" w:cs="KoPubWorld바탕체_Pro Light"/>
          <w:sz w:val="16"/>
        </w:rPr>
        <w:t>성문화는 국가가 빈 종이 위에 시장을 새로 그린 사건이 아니었다. 이미 작동하던 관행 가운데 무엇을 일반규칙으로 인정할지 선택한 사건이었다. 지역과 업종에 따라 달랐던 관행은 표준화되었고, 법을 모르는 사람도 문언을 찾아볼 수 있게 되었다. 동시에 하나의 표준이 다른 관행을 주변으로 밀어냈다. 제국의 상업망에서 영국식 어음법의 확산은 거래의 공통언어를 제공했지만 법적 영향력의 확장이기도 했다.</w:t>
      </w:r>
    </w:p>
    <w:p>
      <w:pPr>
        <w:pStyle w:val="aff3"/>
        <w:spacing w:line="259" w:lineRule="auto"/>
      </w:pPr>
      <w:r>
        <w:rPr>
          <w:rFonts w:ascii="KoPubWorld바탕체_Pro Light" w:hAnsi="KoPubWorld바탕체_Pro Light" w:eastAsia="KoPubWorld바탕체_Pro Light" w:cs="KoPubWorld바탕체_Pro Light"/>
          <w:sz w:val="16"/>
        </w:rPr>
        <w:t>법률문장이 통일되어도 사실판단은 남았다. 문서가 정말 무조건 지급지시인지, 서명이 권한 있는 사람의 것인지, 소지인이 악의 없이 취득했는지, 지급거절 통지가 제때 이루어졌는지는 사건마다 다르다. 성문화는 불확실성을 없애지 않고 불확실성이 발생할 자리를 바꾸었다. 문언의 표준화 뒤에는 증거와 절차의 세부가 더 중요해졌다.</w:t>
      </w:r>
    </w:p>
    <w:p>
      <w:pPr>
        <w:pStyle w:val="aff3"/>
        <w:spacing w:line="259" w:lineRule="auto"/>
      </w:pPr>
      <w:r>
        <w:rPr>
          <w:rFonts w:ascii="KoPubWorld바탕체_Pro Light" w:hAnsi="KoPubWorld바탕체_Pro Light" w:eastAsia="KoPubWorld바탕체_Pro Light" w:cs="KoPubWorld바탕체_Pro Light"/>
          <w:sz w:val="16"/>
        </w:rPr>
        <w:t>또한 1882년 법의 오래된 생명은 금융형식이 고정되었다는 뜻이 아니다.</w:t>
      </w:r>
      <w:r>
        <w:rPr>
          <w:rFonts w:ascii="KoPubWorld바탕체_Pro Light" w:hAnsi="KoPubWorld바탕체_Pro Light" w:eastAsia="KoPubWorld바탕체_Pro Light" w:cs="KoPubWorld바탕체_Pro Light"/>
          <w:sz w:val="14"/>
          <w:vertAlign w:val="superscript"/>
        </w:rPr>
        <w:t>19</w:t>
      </w:r>
      <w:r>
        <w:rPr>
          <w:rFonts w:ascii="KoPubWorld바탕체_Pro Light" w:hAnsi="KoPubWorld바탕체_Pro Light" w:eastAsia="KoPubWorld바탕체_Pro Light" w:cs="KoPubWorld바탕체_Pro Light"/>
          <w:sz w:val="16"/>
        </w:rPr>
        <w:t xml:space="preserve"> 수표와 전신송금, 카드와 전자결제가 어음의 자리를 차츰 좁혔다. 다만 서면지시, 지급인의 승인, 권리의 양도, 선의의 취득이라는 법적 사고는 새 지급수단에도 흔적을 남겼다. 기술은 바뀌었지만 ‘누가 지급을 확정하며 오류의 손실을 누가 지는가’라는 질문은 남았다.</w:t>
      </w:r>
    </w:p>
    <w:p>
      <w:pPr>
        <w:pStyle w:val="aff3"/>
        <w:spacing w:line="259" w:lineRule="auto"/>
      </w:pPr>
      <w:r>
        <w:rPr>
          <w:rFonts w:ascii="KoPubWorld바탕체_Pro Light" w:hAnsi="KoPubWorld바탕체_Pro Light" w:eastAsia="KoPubWorld바탕체_Pro Light" w:cs="KoPubWorld바탕체_Pro Light"/>
          <w:sz w:val="16"/>
        </w:rPr>
        <w:t>어음법은 투자자를 보호하는 현대 증권법과 목적이 다르다. 발행인의 사업내용을 공시하게 하기보다 문서의 형식과 지급순서를 확실하게 만든다. 하지만 정보의 질보다 양도성과 집행 가능성을 우선한 선택은 이후 금융규제의 한 축이 되었다. 유통시장을 키우려면 권리를 표준화해야 하고, 표준화는 개별 사정을 잘라 낸다.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신뢰는 종이가 아니라 절차에 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환어음의 역사는 금융혁신이 법의 공백에서 저절로 자란다는 생각을 흔든다. 종이는 값싸고 가볍지만, 그 자체로 돈이 되지 않는다. 누가 서명할 수 있는지, 인수는 언제 완성되는지, 배서의 하자는 누구에게 돌아가는지, 지급거절을 어떻게 증명하는지가 정해져야 한다. 시장의 유동성은 법적 확실성의 산물이었다.</w:t>
      </w:r>
    </w:p>
    <w:p>
      <w:pPr>
        <w:pStyle w:val="aff3"/>
        <w:spacing w:line="259" w:lineRule="auto"/>
      </w:pPr>
      <w:r>
        <w:rPr>
          <w:rFonts w:ascii="KoPubWorld바탕체_Pro Light" w:hAnsi="KoPubWorld바탕체_Pro Light" w:eastAsia="KoPubWorld바탕체_Pro Light" w:cs="KoPubWorld바탕체_Pro Light"/>
          <w:sz w:val="16"/>
        </w:rPr>
        <w:t>반대로 법은 시장을 완전히 통제하지 못했다. 상인은 세금과 이자금지, 외환통제를 피하려고 문구를 바꾸었고, 법정은 새 형식을 다시 분류했다. 위조범은 서명과 인장을 흉내 냈고, 인수상사는 자신의 좋은 이름을 과도하게 팔 수 있었다. 규칙이 신뢰를 만들면, 그 신뢰를 담보로 더 큰 위험을 쌓을 유인도 생겼다.</w:t>
      </w:r>
    </w:p>
    <w:p>
      <w:pPr>
        <w:pStyle w:val="aff3"/>
        <w:spacing w:line="259" w:lineRule="auto"/>
      </w:pPr>
      <w:r>
        <w:rPr>
          <w:rFonts w:ascii="KoPubWorld바탕체_Pro Light" w:hAnsi="KoPubWorld바탕체_Pro Light" w:eastAsia="KoPubWorld바탕체_Pro Light" w:cs="KoPubWorld바탕체_Pro Light"/>
          <w:sz w:val="16"/>
        </w:rPr>
        <w:t>종이 한 장이 국경을 넘을 수 있었던 것은 국가가 없어서가 아니라 여러 층의 규칙이 겹쳐 있었기 때문이다. 상인의 평판, 도시의 재판, 국가의 법, 은행의 할인기준이 서로 빈틈을 메웠다. 그 덕분에 상인은 은화를 옮기지 않고도 세계를 거래할 수 있었다. 하지만 같은 연결망은 한 이름의 실패를 먼 도시까지 전했다. 금융의 효율과 전염은 같은 종이의 앞뒷면이었다. 이후 중앙은행은 어떤 어음을 ‘좋은 담보’로 받아들일지 정하면서 사적 신용의 최종 심판자에 가까워진다. 환어음이 만든 길 끝에서, 공공은행과 국가신용이 기다리고 있었다.</w:t>
      </w:r>
    </w:p>
    <w:p>
      <w:pPr>
        <w:pStyle w:val="aff2"/>
        <w:pageBreakBefore/>
        <w:spacing w:before="440"/>
        <w:jc w:val="center"/>
      </w:pPr>
      <w:r>
        <w:rPr>
          <w:rFonts w:ascii="KoPubWorld바탕체_Pro Bold" w:hAnsi="KoPubWorld바탕체_Pro Bold" w:eastAsia="KoPubWorld바탕체_Pro Bold" w:cs="KoPubWorld바탕체_Pro Bold"/>
          <w:b/>
          <w:sz w:val="24"/>
        </w:rPr>
        <w:t>Chapter. 05</w:t>
      </w:r>
    </w:p>
    <w:p>
      <w:pPr>
        <w:pStyle w:val="aff1"/>
        <w:jc w:val="center"/>
      </w:pPr>
      <w:r>
        <w:rPr>
          <w:rFonts w:ascii="KoPubWorld바탕체_Pro Bold" w:hAnsi="KoPubWorld바탕체_Pro Bold" w:eastAsia="KoPubWorld바탕체_Pro Bold" w:cs="KoPubWorld바탕체_Pro Bold"/>
          <w:b/>
          <w:sz w:val="28"/>
        </w:rPr>
        <w:t>공공은행과 국가신용 — 암스테르담에서 영란은행까지</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1609년 암스테르담의 상인이 시청 안으로 동전 자루를 들고 들어간다. 도시에는 수백 종류의 은화와 금화가 섞여 돌았다. 같은 이름의 동전도 닳은 정도와 함량이 달랐고, 환전상마다 평가가 달랐다. 상인은 돈을 셀 때마다 무게와 순도를 의심해야 했다. 암스테르담 시가 세운 환은행은 이 혼란을 장부의 숫자로 바꾸려 했다. 동전을 검사해 예치받고, 고객끼리의 지급을 계좌이체로 끝냈다.</w:t>
      </w:r>
      <w:r>
        <w:rPr>
          <w:rFonts w:ascii="KoPubWorld바탕체_Pro Light" w:hAnsi="KoPubWorld바탕체_Pro Light" w:eastAsia="KoPubWorld바탕체_Pro Light" w:cs="KoPubWorld바탕체_Pro Light"/>
          <w:sz w:val="14"/>
          <w:vertAlign w:val="superscript"/>
        </w:rPr>
        <w:t>21</w:t>
      </w:r>
    </w:p>
    <w:p>
      <w:pPr>
        <w:pStyle w:val="aff3"/>
        <w:spacing w:line="259" w:lineRule="auto"/>
      </w:pPr>
      <w:r>
        <w:rPr>
          <w:rFonts w:ascii="KoPubWorld바탕체_Pro Light" w:hAnsi="KoPubWorld바탕체_Pro Light" w:eastAsia="KoPubWorld바탕체_Pro Light" w:cs="KoPubWorld바탕체_Pro Light"/>
          <w:sz w:val="16"/>
        </w:rPr>
        <w:t>네덜란드 중앙은행은 당시 암스테르담에 약 371종의 은화와 505종의 금화가 유통되었다고 설명한다. 1609년 설립된 암스테르담 환은행은 동전을 검사하고 무게를 재어 공통된 은행화폐로 기록함으로써 국제상거래의 결제를 안정시켰다.</w:t>
      </w:r>
      <w:r>
        <w:rPr>
          <w:rFonts w:ascii="KoPubWorld바탕체_Pro Light" w:hAnsi="KoPubWorld바탕체_Pro Light" w:eastAsia="KoPubWorld바탕체_Pro Light" w:cs="KoPubWorld바탕체_Pro Light"/>
          <w:sz w:val="14"/>
          <w:vertAlign w:val="superscript"/>
        </w:rPr>
        <w:t>21</w:t>
      </w:r>
      <w:r>
        <w:rPr>
          <w:rFonts w:ascii="KoPubWorld바탕체_Pro Light" w:hAnsi="KoPubWorld바탕체_Pro Light" w:eastAsia="KoPubWorld바탕체_Pro Light" w:cs="KoPubWorld바탕체_Pro Light"/>
          <w:sz w:val="16"/>
        </w:rPr>
        <w:t xml:space="preserve"> 돈의 재료는 금속이었지만, 거래의 신뢰는 시가 관리하는 장부로 옮겨 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동전의 혼란을 장부의 질서로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환은행의 혁신은 새 금화를 발명한 데 있지 않았다. 서로 다른 주화를 공통 단위로 환산하고, 큰 지급을 장부 안에서 상계한 데 있었다. 한 상인의 계좌에서 줄어든 금액이 다른 상인의 계좌에서 늘어나면 동전은 금고를 떠날 필요가 없다. 운송과 위조, 마모의 위험이 줄어들고 결제의 속도가 빨라졌다.</w:t>
      </w:r>
    </w:p>
    <w:p>
      <w:pPr>
        <w:pStyle w:val="aff3"/>
        <w:spacing w:line="259" w:lineRule="auto"/>
      </w:pPr>
      <w:r>
        <w:rPr>
          <w:rFonts w:ascii="KoPubWorld바탕체_Pro Light" w:hAnsi="KoPubWorld바탕체_Pro Light" w:eastAsia="KoPubWorld바탕체_Pro Light" w:cs="KoPubWorld바탕체_Pro Light"/>
          <w:sz w:val="16"/>
        </w:rPr>
        <w:t>은행의 장부돈은 일상에서 쓰이는 가벼운 주화보다 신뢰받아 프리미엄, 곧 아지오가 붙기도 했다. 이것은 이름이 같은 돈도 품질에 따라 가격이 다를 수 있음을 보여 준다. 시장은 공공기관이 보증한 깨끗한 결제자산에 값을 지불했다.</w:t>
      </w:r>
      <w:r>
        <w:rPr>
          <w:rFonts w:ascii="KoPubWorld바탕체_Pro Light" w:hAnsi="KoPubWorld바탕체_Pro Light" w:eastAsia="KoPubWorld바탕체_Pro Light" w:cs="KoPubWorld바탕체_Pro Light"/>
          <w:sz w:val="14"/>
          <w:vertAlign w:val="superscript"/>
        </w:rPr>
        <w:t>21</w:t>
      </w:r>
      <w:r>
        <w:rPr>
          <w:rFonts w:ascii="KoPubWorld바탕체_Pro Light" w:hAnsi="KoPubWorld바탕체_Pro Light" w:eastAsia="KoPubWorld바탕체_Pro Light" w:cs="KoPubWorld바탕체_Pro Light"/>
          <w:sz w:val="16"/>
        </w:rPr>
        <w:t xml:space="preserve"> 공공은행은 민간 상인을 밀어내기보다 민간거래가 함께 사용할 기준점을 제공했다.</w:t>
      </w:r>
    </w:p>
    <w:p>
      <w:pPr>
        <w:pStyle w:val="aff3"/>
        <w:spacing w:line="259" w:lineRule="auto"/>
      </w:pPr>
      <w:r>
        <w:rPr>
          <w:rFonts w:ascii="KoPubWorld바탕체_Pro Light" w:hAnsi="KoPubWorld바탕체_Pro Light" w:eastAsia="KoPubWorld바탕체_Pro Light" w:cs="KoPubWorld바탕체_Pro Light"/>
          <w:sz w:val="16"/>
        </w:rPr>
        <w:t>아지오는 작은 숫자지만 큰 정보를 담았다. 장부돈의 가격이 일정하게 유지된다는 것은 상인이 은행의 자산과 교환규칙을 믿는다는 뜻이었다. 아지오가 흔들리면 은행 장부와 실제 주화 사이의 약속에 의심이 생겼다는 신호가 된다. 시장가격은 공공기관의 평판을 매일 평가했다.</w:t>
      </w:r>
    </w:p>
    <w:p>
      <w:pPr>
        <w:pStyle w:val="aff3"/>
        <w:spacing w:line="259" w:lineRule="auto"/>
      </w:pPr>
      <w:r>
        <w:rPr>
          <w:rFonts w:ascii="KoPubWorld바탕체_Pro Light" w:hAnsi="KoPubWorld바탕체_Pro Light" w:eastAsia="KoPubWorld바탕체_Pro Light" w:cs="KoPubWorld바탕체_Pro Light"/>
          <w:sz w:val="16"/>
        </w:rPr>
        <w:t>그 기준점은 규칙으로 유지되었다. 어떤 주화를 얼마로 평가할지, 누가 계좌를 열 수 있는지, 큰 어음의 지급을 은행장부로 하게 할지, 인출에 어떤 조건을 둘지가 중요했다. 환은행은 단순한 보관창고가 아니라 결제규칙의 관리자였다. 화폐규제는 금속의 함량에서 계좌의 접근과 이전으로 이동했다.</w:t>
      </w:r>
    </w:p>
    <w:p>
      <w:pPr>
        <w:pStyle w:val="aff3"/>
        <w:spacing w:line="259" w:lineRule="auto"/>
      </w:pPr>
      <w:r>
        <w:rPr>
          <w:rFonts w:ascii="KoPubWorld바탕체_Pro Light" w:hAnsi="KoPubWorld바탕체_Pro Light" w:eastAsia="KoPubWorld바탕체_Pro Light" w:cs="KoPubWorld바탕체_Pro Light"/>
          <w:sz w:val="16"/>
        </w:rPr>
        <w:t>그러나 장부돈의 편리함은 새로운 의존을 만들었다. 상인은 더 이상 상대의 동전을 직접 검사하지 않아도 되지만, 은행의 금고와 장부가 정직하다고 믿어야 했다. 개인별 검사를 공공기관에 맡긴 결과, 거래비용은 줄고 기관 하나의 실패가 더 큰 의미를 갖게 되었다. 표준화는 위험을 없애지 않고 중앙에 모았다.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보관은행이 신용을 만들기 시작할 때</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원칙적으로 예치된 금속을 안전하게 보관하고 장부이체만 한다면 은행은 지급요구를 쉽게 감당할 수 있다. 하지만 금고에 오래 머무는 자산을 빌려 주고 싶은 유혹이 생긴다. 모든 예금자가 같은 날 인출하지 않는다는 경험은 대출의 여지를 만든다. 대출은 도시와 상업에 자금을 공급하지만, 즉시 돌려줘야 할 예금과 나중에 갚을 대출 사이의 만기 차이를 낳는다.</w:t>
      </w:r>
    </w:p>
    <w:p>
      <w:pPr>
        <w:pStyle w:val="aff3"/>
        <w:spacing w:line="259" w:lineRule="auto"/>
      </w:pPr>
      <w:r>
        <w:rPr>
          <w:rFonts w:ascii="KoPubWorld바탕체_Pro Light" w:hAnsi="KoPubWorld바탕체_Pro Light" w:eastAsia="KoPubWorld바탕체_Pro Light" w:cs="KoPubWorld바탕체_Pro Light"/>
          <w:sz w:val="16"/>
        </w:rPr>
        <w:t>암스테르담 환은행도 시간이 지나면서 네덜란드 동인도회사와 도시의 이해에 얽힌 신용을 제공했다. 네덜란드 중앙은행은 은행이 본래의 안정적 결제 역할에서 벗어나 동인도회사에 위험한 대출을 늘리면서 신뢰가 훼손되었다고 회고한다.</w:t>
      </w:r>
      <w:r>
        <w:rPr>
          <w:rFonts w:ascii="KoPubWorld바탕체_Pro Light" w:hAnsi="KoPubWorld바탕체_Pro Light" w:eastAsia="KoPubWorld바탕체_Pro Light" w:cs="KoPubWorld바탕체_Pro Light"/>
          <w:sz w:val="14"/>
          <w:vertAlign w:val="superscript"/>
        </w:rPr>
        <w:t>21</w:t>
      </w:r>
      <w:r>
        <w:rPr>
          <w:rFonts w:ascii="KoPubWorld바탕체_Pro Light" w:hAnsi="KoPubWorld바탕체_Pro Light" w:eastAsia="KoPubWorld바탕체_Pro Light" w:cs="KoPubWorld바탕체_Pro Light"/>
          <w:sz w:val="16"/>
        </w:rPr>
        <w:t xml:space="preserve"> 공공은행의 ‘공공’은 대출이 안전하다는 보증이 아니었다. 오히려 정치적으로 중요한 차입자에게 위험이 집중될 수 있었다.</w:t>
      </w:r>
    </w:p>
    <w:p>
      <w:pPr>
        <w:pStyle w:val="aff3"/>
        <w:spacing w:line="259" w:lineRule="auto"/>
      </w:pPr>
      <w:r>
        <w:rPr>
          <w:rFonts w:ascii="KoPubWorld바탕체_Pro Light" w:hAnsi="KoPubWorld바탕체_Pro Light" w:eastAsia="KoPubWorld바탕체_Pro Light" w:cs="KoPubWorld바탕체_Pro Light"/>
          <w:sz w:val="16"/>
        </w:rPr>
        <w:t>여기서 공공은행의 첫 번째 딜레마가 생긴다. 대출을 거의 하지 않으면 결제의 안전성은 높지만 경제가 필요로 하는 신용을 충분히 공급하지 못할 수 있다. 대출을 넓히면 수익과 유동성이 늘지만, 예금자가 동시에 금속을 요구할 때 지급불능 위험이 커진다. 오늘날 중앙은행과 상업은행의 역할을 분리하고, 준비금과 자본을 규제하는 문제의 오래된 뿌리다.</w:t>
      </w:r>
    </w:p>
    <w:p>
      <w:pPr>
        <w:pStyle w:val="aff3"/>
        <w:spacing w:line="259" w:lineRule="auto"/>
      </w:pPr>
      <w:r>
        <w:rPr>
          <w:rFonts w:ascii="KoPubWorld바탕체_Pro Light" w:hAnsi="KoPubWorld바탕체_Pro Light" w:eastAsia="KoPubWorld바탕체_Pro Light" w:cs="KoPubWorld바탕체_Pro Light"/>
          <w:sz w:val="16"/>
        </w:rPr>
        <w:t>두 번째 딜레마는 투명성이다. 대출상대와 담보, 준비자산을 공개하면 신뢰를 얻을 수 있지만 일시적 손실이 공황을 부를 수도 있다. 공개하지 않으면 평온은 유지되지만 특혜와 부실이 장부 뒤에서 자란다. 공공기관의 신뢰는 비밀과 공개 중 하나만으로 유지되지 않는다. 정보와 책임의 구조가 함께 필요하다.</w:t>
      </w:r>
    </w:p>
    <w:p>
      <w:pPr>
        <w:pStyle w:val="aff3"/>
        <w:spacing w:line="259" w:lineRule="auto"/>
      </w:pPr>
      <w:r>
        <w:rPr>
          <w:rFonts w:ascii="KoPubWorld바탕체_Pro Light" w:hAnsi="KoPubWorld바탕체_Pro Light" w:eastAsia="KoPubWorld바탕체_Pro Light" w:cs="KoPubWorld바탕체_Pro Light"/>
          <w:sz w:val="16"/>
        </w:rPr>
        <w:t>세 번째 딜레마는 유동성과 지급능력의 구별이다. 좋은 자산을 가지고도 당장 현금화하지 못하면 인출을 막을 수 없고, 빠르게 팔 수 있어도 자산가치가 부채보다 작으면 근본적으로 부실하다. 장부은행의 평온한 날에는 둘이 비슷해 보이지만 위기에는 처방이 달라진다. 일시적 유동성 부족에는 대출이 도움이 되지만, 지급불능 기관에 더 빌려 주면 손실만 뒤로 미룬다.</w:t>
      </w:r>
    </w:p>
    <w:p>
      <w:pPr>
        <w:pStyle w:val="aff3"/>
        <w:spacing w:line="259" w:lineRule="auto"/>
      </w:pPr>
      <w:r>
        <w:rPr>
          <w:rFonts w:ascii="KoPubWorld바탕체_Pro Light" w:hAnsi="KoPubWorld바탕체_Pro Light" w:eastAsia="KoPubWorld바탕체_Pro Light" w:cs="KoPubWorld바탕체_Pro Light"/>
          <w:sz w:val="16"/>
        </w:rPr>
        <w:t>공공은행은 이 구별을 스스로에게 적용해야 하는 기관이면서 다른 은행을 판단하는 기관으로 발전했다. 심판과 선수의 역할이 겹칠 때 이해상충이 생긴다. 그래서 훗날 중앙은행의 회계, 담보정책, 정부와의 관계를 둘러싼 규칙이 중요해졌다.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전쟁비용이 은행을 낳다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1694년의 잉글랜드는 대륙전쟁의 비용을 조달해야 했다. 왕의 단기차입은 비싸고 불안정했고, 세금수입은 미래에 들어왔다. 의회가 승인한 계획은 민간 투자자들이 자본을 모아 정부에 빌려 주고 그 대가로 은행업 특허와 이자를 받는 방식이었다. 영란은행은 1694년 7월 27일 왕실 특허를 받았으며, 창립자들이 조성한 120만 파운드는 정부에 대부되었다.</w:t>
      </w:r>
      <w:r>
        <w:rPr>
          <w:rFonts w:ascii="KoPubWorld바탕체_Pro Light" w:hAnsi="KoPubWorld바탕체_Pro Light" w:eastAsia="KoPubWorld바탕체_Pro Light" w:cs="KoPubWorld바탕체_Pro Light"/>
          <w:sz w:val="14"/>
          <w:vertAlign w:val="superscript"/>
        </w:rPr>
        <w:t>22</w:t>
      </w:r>
    </w:p>
    <w:p>
      <w:pPr>
        <w:pStyle w:val="aff3"/>
        <w:spacing w:line="259" w:lineRule="auto"/>
      </w:pPr>
      <w:r>
        <w:rPr>
          <w:rFonts w:ascii="KoPubWorld바탕체_Pro Light" w:hAnsi="KoPubWorld바탕체_Pro Light" w:eastAsia="KoPubWorld바탕체_Pro Light" w:cs="KoPubWorld바탕체_Pro Light"/>
          <w:sz w:val="16"/>
        </w:rPr>
        <w:t>그 대부의 조건에는 연 8퍼센트 이자와 관리비가 포함되었다. 영란은행의 공식 기록은 정부가 120만 파운드를 빌렸고 이 원금이 오랫동안 상환되지 않은 채 공공부채 관계의 기초가 되었음을 설명한다.</w:t>
      </w:r>
      <w:r>
        <w:rPr>
          <w:rFonts w:ascii="KoPubWorld바탕체_Pro Light" w:hAnsi="KoPubWorld바탕체_Pro Light" w:eastAsia="KoPubWorld바탕체_Pro Light" w:cs="KoPubWorld바탕체_Pro Light"/>
          <w:sz w:val="14"/>
          <w:vertAlign w:val="superscript"/>
        </w:rPr>
        <w:t>23</w:t>
      </w:r>
      <w:r>
        <w:rPr>
          <w:rFonts w:ascii="KoPubWorld바탕체_Pro Light" w:hAnsi="KoPubWorld바탕체_Pro Light" w:eastAsia="KoPubWorld바탕체_Pro Light" w:cs="KoPubWorld바탕체_Pro Light"/>
          <w:sz w:val="16"/>
        </w:rPr>
        <w:t xml:space="preserve"> 은행의 탄생은 화폐안정을 위한 순수한 중앙은행 설계가 아니라 전쟁국가의 재정수요에서 나왔다.</w:t>
      </w:r>
    </w:p>
    <w:p>
      <w:pPr>
        <w:pStyle w:val="aff3"/>
        <w:spacing w:line="259" w:lineRule="auto"/>
      </w:pPr>
      <w:r>
        <w:rPr>
          <w:rFonts w:ascii="KoPubWorld바탕체_Pro Light" w:hAnsi="KoPubWorld바탕체_Pro Light" w:eastAsia="KoPubWorld바탕체_Pro Light" w:cs="KoPubWorld바탕체_Pro Light"/>
          <w:sz w:val="16"/>
        </w:rPr>
        <w:t>투자자에게는 정부의 세수에 기초한 장기이자와 은행의 사업기회가 결합되었다. 정부에는 흩어진 단기채권자를 하나의 법인으로 묶고 더 예측 가능한 조건으로 차입할 길이 생겼다. 공공부채가 거래 가능한 금융자산이 되자, 국가는 미래의 조세를 오늘의 전쟁비용으로 바꿀 수 있었다. 국가신용은 왕 개인의 신용에서 의회·세금·법인·장부가 함께 지탱하는 제도적 신용으로 이동했다.</w:t>
      </w:r>
    </w:p>
    <w:p>
      <w:pPr>
        <w:pStyle w:val="aff3"/>
        <w:spacing w:line="259" w:lineRule="auto"/>
      </w:pPr>
      <w:r>
        <w:rPr>
          <w:rFonts w:ascii="KoPubWorld바탕체_Pro Light" w:hAnsi="KoPubWorld바탕체_Pro Light" w:eastAsia="KoPubWorld바탕체_Pro Light" w:cs="KoPubWorld바탕체_Pro Light"/>
          <w:sz w:val="16"/>
        </w:rPr>
        <w:t>이동의 핵심은 상환능력뿐 아니라 절차에 대한 믿음이었다. 왕이 마음을 바꾸어 채무를 부인할 가능성보다 의회가 세금을 승인하고 계약을 계속 지킬 가능성이 중요해졌다. 채권자는 통치자의 인품 대신 제도의 지속성을 가격에 넣었다. 국가신용의 현대화는 정부가 더 선해서가 아니라 약속을 바꾸기 어렵게 하는 장치가 늘어난 결과였다.</w:t>
      </w:r>
    </w:p>
    <w:p>
      <w:pPr>
        <w:pStyle w:val="aff3"/>
        <w:spacing w:line="259" w:lineRule="auto"/>
      </w:pPr>
      <w:r>
        <w:rPr>
          <w:rFonts w:ascii="KoPubWorld바탕체_Pro Light" w:hAnsi="KoPubWorld바탕체_Pro Light" w:eastAsia="KoPubWorld바탕체_Pro Light" w:cs="KoPubWorld바탕체_Pro Light"/>
          <w:sz w:val="16"/>
        </w:rPr>
        <w:t>물론 의회의 존재가 곧 민주적 공정성을 뜻하지 않았다. 투표권은 제한되어 있었고 국채와 은행주식의 보유자는 사회의 일부였다. 이자는 넓은 납세기반에서 걷혀 자산보유자에게 지급될 수 있었다. 안정된 국가신용은 부의 이전구조도 만들었다.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민간회사인가 중앙은행인가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초기의 영란은행은 오늘날의 중앙은행과 달랐다. 주주가 소유하고 이익을 추구하는 회사였으며, 정부 대부뿐 아니라 환어음 할인과 예금, 은행권 발행을 했다. 영란은행은 설립 전 런던 금세공인이 예금을 받고 대출하며 지급약속서를 유통시켰고, 그 약속서가 은행권의 선행형태였다고 설명한다.</w:t>
      </w:r>
      <w:r>
        <w:rPr>
          <w:rFonts w:ascii="KoPubWorld바탕체_Pro Light" w:hAnsi="KoPubWorld바탕체_Pro Light" w:eastAsia="KoPubWorld바탕체_Pro Light" w:cs="KoPubWorld바탕체_Pro Light"/>
          <w:sz w:val="14"/>
          <w:vertAlign w:val="superscript"/>
        </w:rPr>
        <w:t>24</w:t>
      </w:r>
      <w:r>
        <w:rPr>
          <w:rFonts w:ascii="KoPubWorld바탕체_Pro Light" w:hAnsi="KoPubWorld바탕체_Pro Light" w:eastAsia="KoPubWorld바탕체_Pro Light" w:cs="KoPubWorld바탕체_Pro Light"/>
          <w:sz w:val="16"/>
        </w:rPr>
        <w:t xml:space="preserve"> 새 은행은 기존 금융관행을 국가특허와 큰 자본 아래 결합했다.</w:t>
      </w:r>
    </w:p>
    <w:p>
      <w:pPr>
        <w:pStyle w:val="aff3"/>
        <w:spacing w:line="259" w:lineRule="auto"/>
      </w:pPr>
      <w:r>
        <w:rPr>
          <w:rFonts w:ascii="KoPubWorld바탕체_Pro Light" w:hAnsi="KoPubWorld바탕체_Pro Light" w:eastAsia="KoPubWorld바탕체_Pro Light" w:cs="KoPubWorld바탕체_Pro Light"/>
          <w:sz w:val="16"/>
        </w:rPr>
        <w:t>그렇다고 단순한 민간은행도 아니었다. 정부의 주요 거래상대였고 공공부채를 관리했으며, 특허와 의회의 보호를 받았다. 민간의 손익과 공공의 신뢰가 한 장부에 놓였다. 은행이 어려워지면 주주만의 문제가 아니라 정부 차입과 지급결제의 문제가 되었다. 반대로 정부가 은행에 지나치게 의존하면 은행은 경쟁자보다 유리한 지위를 얻었다.</w:t>
      </w:r>
    </w:p>
    <w:p>
      <w:pPr>
        <w:pStyle w:val="aff3"/>
        <w:spacing w:line="259" w:lineRule="auto"/>
      </w:pPr>
      <w:r>
        <w:rPr>
          <w:rFonts w:ascii="KoPubWorld바탕체_Pro Light" w:hAnsi="KoPubWorld바탕체_Pro Light" w:eastAsia="KoPubWorld바탕체_Pro Light" w:cs="KoPubWorld바탕체_Pro Light"/>
          <w:sz w:val="16"/>
        </w:rPr>
        <w:t>특허는 신뢰를 높였다. 의회와 세수가 뒤에 있다는 믿음은 은행권과 예금의 수용성을 넓혔다. 하지만 특허는 진입장벽이기도 했다. 누가 은행이라는 이름을 쓰고, 주식회사 형태로 큰 자본을 모으며, 은행권을 발행할 수 있는지가 정치적으로 정해졌다. 금융규제는 위험을 줄이는 동시에 희소한 권리를 배분했다.</w:t>
      </w:r>
    </w:p>
    <w:p>
      <w:pPr>
        <w:pStyle w:val="aff3"/>
        <w:spacing w:line="259" w:lineRule="auto"/>
      </w:pPr>
      <w:r>
        <w:rPr>
          <w:rFonts w:ascii="KoPubWorld바탕체_Pro Light" w:hAnsi="KoPubWorld바탕체_Pro Light" w:eastAsia="KoPubWorld바탕체_Pro Light" w:cs="KoPubWorld바탕체_Pro Light"/>
          <w:sz w:val="16"/>
        </w:rPr>
        <w:t>독점에 가까운 권리는 감독의 대가로 설명될 수 있다. 당국이 소수의 기관만 허용하면 장부를 살피고 책임을 묻기 쉬워진다. 반대로 경쟁이 줄면 서비스가 비싸지고 혁신이 늦어지며, 허가받은 기관이 정부와의 관계를 이용할 수 있다. ‘안전을 위해 큰 은행이 필요하다’는 주장과 ‘큰 은행이어서 더 위험하다’는 반론은 이때부터 함께 자랐다.</w:t>
      </w:r>
    </w:p>
    <w:p>
      <w:pPr>
        <w:pStyle w:val="aff3"/>
        <w:spacing w:line="259" w:lineRule="auto"/>
      </w:pPr>
      <w:r>
        <w:rPr>
          <w:rFonts w:ascii="KoPubWorld바탕체_Pro Light" w:hAnsi="KoPubWorld바탕체_Pro Light" w:eastAsia="KoPubWorld바탕체_Pro Light" w:cs="KoPubWorld바탕체_Pro Light"/>
          <w:sz w:val="16"/>
        </w:rPr>
        <w:t>공공기능과 사적이익의 결합은 이후 중앙은행사의 지속적인 논쟁이 되었다. 위기 때 특정 상인과 은행에 유동성을 주는 결정은 전체 시장을 살리는 공공행위인가, 연결된 엘리트를 구제하는 특혜인가. 정부채권을 사는 일은 통화안정인가 재정지원인가. 영란은행이 발전하면서 답은 바뀌었지만 질문은 남았다.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국가신용의 선순환과 악순환</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신뢰받는 은행은 정부의 차입비용을 낮출 수 있다. 예측 가능한 세금과 의회의 승인, 정기적으로 지급되는 이자는 국채를 더 쉽게 팔리게 한다. 유동적인 국채시장은 은행에 안전자산과 담보를 제공한다. 은행과 국가가 서로의 신용을 강화하는 선순환이다.</w:t>
      </w:r>
    </w:p>
    <w:p>
      <w:pPr>
        <w:pStyle w:val="aff3"/>
        <w:spacing w:line="259" w:lineRule="auto"/>
      </w:pPr>
      <w:r>
        <w:rPr>
          <w:rFonts w:ascii="KoPubWorld바탕체_Pro Light" w:hAnsi="KoPubWorld바탕체_Pro Light" w:eastAsia="KoPubWorld바탕체_Pro Light" w:cs="KoPubWorld바탕체_Pro Light"/>
          <w:sz w:val="16"/>
        </w:rPr>
        <w:t>하지만 같은 연결은 악순환이 될 수 있다. 은행이 국채를 지나치게 보유하고 국가가 지급능력을 잃으면, 재정위기가 은행위기로 번진다. 정부는 은행을 구제하느라 더 많은 빚을 지고, 그 부담이 다시 국채가치를 떨어뜨린다. 오늘날 ‘은행과 국가의 운명공동체’라 부르는 구조는 공공은행과 국가신용이 함께 성장한 순간부터 잠재해 있었다.</w:t>
      </w:r>
    </w:p>
    <w:p>
      <w:pPr>
        <w:pStyle w:val="aff3"/>
        <w:spacing w:line="259" w:lineRule="auto"/>
      </w:pPr>
      <w:r>
        <w:rPr>
          <w:rFonts w:ascii="KoPubWorld바탕체_Pro Light" w:hAnsi="KoPubWorld바탕체_Pro Light" w:eastAsia="KoPubWorld바탕체_Pro Light" w:cs="KoPubWorld바탕체_Pro Light"/>
          <w:sz w:val="16"/>
        </w:rPr>
        <w:t>전쟁자금 조달이라는 기원도 잊어서는 안 된다. 안정된 국가신용은 시민의 거래를 돕는 동시에 국가가 더 오래, 더 큰 전쟁을 수행할 능력을 주었다. 금융혁신의 혜택은 상업과 산업에만 가지 않았다. 제국의 팽창과 식민지 무역, 노예제 경제에도 자금이 연결되었다. ‘근대적’ 금융을 진보의 이야기로만 쓰면 그 신용이 가능하게 한 폭력은 장부 밖으로 사라진다.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공공의 이름을 신뢰할 조건</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암스테르담 환은행과 영란은행은 서로 다른 문제에서 출발했다. 하나는 난립한 동전을 깨끗한 장부돈으로 바꾸었고, 다른 하나는 전쟁국가의 미래 세수를 현재의 대부로 바꾸었다. 그러나 둘 다 사적인 약속을 공적 제도에 연결해 더 넓은 신뢰를 만들었다. 돈은 금고의 금속만이 아니라 기관의 규칙과 정치질서에 대한 믿음이 되었다.</w:t>
      </w:r>
    </w:p>
    <w:p>
      <w:pPr>
        <w:pStyle w:val="aff3"/>
        <w:spacing w:line="259" w:lineRule="auto"/>
      </w:pPr>
      <w:r>
        <w:rPr>
          <w:rFonts w:ascii="KoPubWorld바탕체_Pro Light" w:hAnsi="KoPubWorld바탕체_Pro Light" w:eastAsia="KoPubWorld바탕체_Pro Light" w:cs="KoPubWorld바탕체_Pro Light"/>
          <w:sz w:val="16"/>
        </w:rPr>
        <w:t>공공의 이름이 붙는다고 위험이 사라지지는 않는다. 오히려 사람들은 국가나 도시가 뒤에 있다고 믿어 더 적게 감시할 수 있다. 공공기관은 그 신뢰를 이용해 특정 회사나 정부에 과도한 대출을 할 수 있다. 보증은 안정장치인 동시에 위험을 키울 수 있는 보조금이다.</w:t>
      </w:r>
    </w:p>
    <w:p>
      <w:pPr>
        <w:pStyle w:val="aff3"/>
        <w:spacing w:line="259" w:lineRule="auto"/>
      </w:pPr>
      <w:r>
        <w:rPr>
          <w:rFonts w:ascii="KoPubWorld바탕체_Pro Light" w:hAnsi="KoPubWorld바탕체_Pro Light" w:eastAsia="KoPubWorld바탕체_Pro Light" w:cs="KoPubWorld바탕체_Pro Light"/>
          <w:sz w:val="16"/>
        </w:rPr>
        <w:t>보증의 범위를 일부러 모호하게 두는 전략도 있다. 모두를 구제한다고 약속하면 무모한 행동을 부르고, 누구도 돕지 않겠다고 하면 작은 소문에도 인출이 몰릴 수 있다. 공공은행은 평온기에는 규율을 유지하고 위기에는 전염을 막아야 한다. 사전에 어느 정도까지 약속해야 하는지의 문제는 뒤에 등장할 최종대부자 논쟁으로 이어진다.</w:t>
      </w:r>
    </w:p>
    <w:p>
      <w:pPr>
        <w:pStyle w:val="aff3"/>
        <w:spacing w:line="259" w:lineRule="auto"/>
      </w:pPr>
      <w:r>
        <w:rPr>
          <w:rFonts w:ascii="KoPubWorld바탕체_Pro Light" w:hAnsi="KoPubWorld바탕체_Pro Light" w:eastAsia="KoPubWorld바탕체_Pro Light" w:cs="KoPubWorld바탕체_Pro Light"/>
          <w:sz w:val="16"/>
        </w:rPr>
        <w:t>좋은 공공은행의 조건은 그래서 ‘국가가 소유하는가’만으로 정해지지 않는다. 결제자산과 위험대출의 관계, 손실을 흡수할 자본, 대출상대의 공개, 정치권력과의 거리, 위기 때 책임을 묻는 절차가 중요하다. 중앙은행 독립성과 민주적 통제가 함께 논의되는 이유도 여기에 있다.</w:t>
      </w:r>
    </w:p>
    <w:p>
      <w:pPr>
        <w:pStyle w:val="aff3"/>
        <w:spacing w:line="259" w:lineRule="auto"/>
      </w:pPr>
      <w:r>
        <w:rPr>
          <w:rFonts w:ascii="KoPubWorld바탕체_Pro Light" w:hAnsi="KoPubWorld바탕체_Pro Light" w:eastAsia="KoPubWorld바탕체_Pro Light" w:cs="KoPubWorld바탕체_Pro Light"/>
          <w:sz w:val="16"/>
        </w:rPr>
        <w:t>공공은행은 시장 밖의 심판자가 아니었다. 어떤 돈을 깨끗한 것으로 인정하고, 어떤 어음을 할인하며, 어떤 정부채권을 안전한 것으로 취급하는지 결정하면서 시장의 중심을 만들었다. 그 중심이 안정되면 거래는 넓어졌고, 중심이 흔들리면 모두가 같은 문으로 몰렸다. 공적 신뢰는 금융의 기반시설이지만 무한한 자원이 아니다. 다음 장의 남해회사 거품은 국가신용이라는 강력한 발명이 어떻게 투기의 연료가 될 수 있는지를 보여 준다.</w:t>
      </w:r>
    </w:p>
    <w:p>
      <w:pPr>
        <w:pStyle w:val="aff2"/>
        <w:pageBreakBefore/>
        <w:spacing w:before="440"/>
        <w:jc w:val="center"/>
      </w:pPr>
      <w:r>
        <w:rPr>
          <w:rFonts w:ascii="KoPubWorld바탕체_Pro Bold" w:hAnsi="KoPubWorld바탕체_Pro Bold" w:eastAsia="KoPubWorld바탕체_Pro Bold" w:cs="KoPubWorld바탕체_Pro Bold"/>
          <w:b/>
          <w:sz w:val="24"/>
        </w:rPr>
        <w:t>Chapter. 06</w:t>
      </w:r>
    </w:p>
    <w:p>
      <w:pPr>
        <w:pStyle w:val="aff1"/>
        <w:jc w:val="center"/>
      </w:pPr>
      <w:r>
        <w:rPr>
          <w:rFonts w:ascii="KoPubWorld바탕체_Pro Bold" w:hAnsi="KoPubWorld바탕체_Pro Bold" w:eastAsia="KoPubWorld바탕체_Pro Bold" w:cs="KoPubWorld바탕체_Pro Bold"/>
          <w:b/>
          <w:sz w:val="28"/>
        </w:rPr>
        <w:t>거품을 법으로 막을 수 있는가 — 남해회사와 초기 증권규제</w:t>
      </w:r>
    </w:p>
    <w:p>
      <w:pPr>
        <w:spacing w:before="60" w:after="0"/>
      </w:pPr>
    </w:p>
    <w:p>
      <w:pPr>
        <w:keepNext/>
        <w:jc w:val="center"/>
      </w:pPr>
      <w:r>
        <w:drawing>
          <wp:inline xmlns:a="http://schemas.openxmlformats.org/drawingml/2006/main" xmlns:pic="http://schemas.openxmlformats.org/drawingml/2006/picture">
            <wp:extent cx="3941063" cy="2218026"/>
            <wp:docPr id="3" name="Picture 3" descr="1720년 런던의 투기 열풍. 국가부채와 독점회사, 주식시장은 한 장면에서 만났다." title="1720년 런던의 투기 열풍. 국가부채와 독점회사, 주식시장은 한 장면에서 만났다."/>
            <wp:cNvGraphicFramePr>
              <a:graphicFrameLocks noChangeAspect="1"/>
            </wp:cNvGraphicFramePr>
            <a:graphic>
              <a:graphicData uri="http://schemas.openxmlformats.org/drawingml/2006/picture">
                <pic:pic>
                  <pic:nvPicPr>
                    <pic:cNvPr id="0" name="ch06_south_sea_gray_q86.jpg"/>
                    <pic:cNvPicPr/>
                  </pic:nvPicPr>
                  <pic:blipFill>
                    <a:blip r:embed="rId42"/>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6. 1720년 런던의 투기 열풍. 국가부채와 독점회사, 주식시장은 한 장면에서 만났다.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1720년 런던의 커피하우스에서는 종이쪽지가 손에서 손으로 넘어갔다. 어떤 회사는 남해 무역의 독점권을 말했고, 어떤 회사는 바닷물을 담수로 바꾸거나 아직 공개할 수 없는 놀라운 사업을 내세웠다. 투자자는 사업장의 굴뚝보다 이름과 소문, 어제보다 오른 가격을 보았다. 국채를 남해회사 주식으로 바꾸는 거대한 계획이 시장을 달구자, 온갖 주식회사가 그 열기 옆에 간판을 세웠다.</w:t>
      </w:r>
      <w:r>
        <w:rPr>
          <w:rFonts w:ascii="KoPubWorld바탕체_Pro Light" w:hAnsi="KoPubWorld바탕체_Pro Light" w:eastAsia="KoPubWorld바탕체_Pro Light" w:cs="KoPubWorld바탕체_Pro Light"/>
          <w:sz w:val="14"/>
          <w:vertAlign w:val="superscript"/>
        </w:rPr>
        <w:t>25</w:t>
      </w:r>
    </w:p>
    <w:p>
      <w:pPr>
        <w:pStyle w:val="aff3"/>
        <w:spacing w:line="259" w:lineRule="auto"/>
      </w:pPr>
      <w:r>
        <w:rPr>
          <w:rFonts w:ascii="KoPubWorld바탕체_Pro Light" w:hAnsi="KoPubWorld바탕체_Pro Light" w:eastAsia="KoPubWorld바탕체_Pro Light" w:cs="KoPubWorld바탕체_Pro Light"/>
          <w:sz w:val="16"/>
        </w:rPr>
        <w:t>남해회사 사건은 흔히 ‘거품이 터지자 의회가 Bubble Act를 만들어 투기를 막았다’고 요약된다. 순서부터 틀렸다. 이 법은 거품이 진행 중이던 1720년 6월 제정되었고, 남해회사와 같은 특허회사의 경쟁자를 억제하는 이해가 작용했다. 폭락 뒤의 중립적 투자자보호법이라기보다 거품 한가운데에서 시장의 참가자와 법인형식을 통제한 법이었다.</w:t>
      </w:r>
      <w:r>
        <w:rPr>
          <w:rFonts w:ascii="KoPubWorld바탕체_Pro Light" w:hAnsi="KoPubWorld바탕체_Pro Light" w:eastAsia="KoPubWorld바탕체_Pro Light" w:cs="KoPubWorld바탕체_Pro Light"/>
          <w:sz w:val="14"/>
          <w:vertAlign w:val="superscript"/>
        </w:rPr>
        <w:t>26</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국채를 주식으로 바꾸는 마술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남해회사는 1711년 영국 정부의 부채 일부를 인수하는 구조로 설립되었다. 국채권자는 채권을 회사 주식으로 바꾸고, 회사는 정부로부터 이자를 받았다. ‘남해’ 무역권은 화려한 미래이익의 이야기였지만 회사가 안정적으로 얻는 현금흐름의 핵심은 정부지급이었다. 공공부채와 회사주식, 해외무역의 기대가 한 자산에 결합되었다.</w:t>
      </w:r>
      <w:r>
        <w:rPr>
          <w:rFonts w:ascii="KoPubWorld바탕체_Pro Light" w:hAnsi="KoPubWorld바탕체_Pro Light" w:eastAsia="KoPubWorld바탕체_Pro Light" w:cs="KoPubWorld바탕체_Pro Light"/>
          <w:sz w:val="14"/>
          <w:vertAlign w:val="superscript"/>
        </w:rPr>
        <w:t>25</w:t>
      </w:r>
    </w:p>
    <w:p>
      <w:pPr>
        <w:pStyle w:val="aff3"/>
        <w:spacing w:line="259" w:lineRule="auto"/>
      </w:pPr>
      <w:r>
        <w:rPr>
          <w:rFonts w:ascii="KoPubWorld바탕체_Pro Light" w:hAnsi="KoPubWorld바탕체_Pro Light" w:eastAsia="KoPubWorld바탕체_Pro Light" w:cs="KoPubWorld바탕체_Pro Light"/>
          <w:sz w:val="16"/>
        </w:rPr>
        <w:t>정부 입장에서는 분산된 채권을 정리하고 차입조건을 바꿀 수 있었다. 회사는 더 많은 국채를 인수할수록 규모와 정치적 영향력을 키웠다. 투자자는 정부의 세수에 기대는 비교적 안정된 수익과 해외무역의 큰 이익을 동시에 꿈꿀 수 있었다. 국가신용이 민간기업의 판촉수단이 되었다.</w:t>
      </w:r>
    </w:p>
    <w:p>
      <w:pPr>
        <w:pStyle w:val="aff3"/>
        <w:spacing w:line="259" w:lineRule="auto"/>
      </w:pPr>
      <w:r>
        <w:rPr>
          <w:rFonts w:ascii="KoPubWorld바탕체_Pro Light" w:hAnsi="KoPubWorld바탕체_Pro Light" w:eastAsia="KoPubWorld바탕체_Pro Light" w:cs="KoPubWorld바탕체_Pro Light"/>
          <w:sz w:val="16"/>
        </w:rPr>
        <w:t>이 구조를 단순한 사기로만 볼 수는 없다. 부채전환은 실제 재정문제를 다루는 금융기술이었다. 주가가 높을수록 같은 수의 신주로 더 많은 국채를 인수할 수 있었고, 정부와 기존주주에게 이익이 되었다. 그러나 바로 그 때문에 회사는 높은 주가를 유지할 강한 유인을 가졌다. 가격상승은 사업성과의 결과가 아니라 계획을 성공시키는 조건이 되었다.</w:t>
      </w:r>
    </w:p>
    <w:p>
      <w:pPr>
        <w:pStyle w:val="aff3"/>
        <w:spacing w:line="259" w:lineRule="auto"/>
      </w:pPr>
      <w:r>
        <w:rPr>
          <w:rFonts w:ascii="KoPubWorld바탕체_Pro Light" w:hAnsi="KoPubWorld바탕체_Pro Light" w:eastAsia="KoPubWorld바탕체_Pro Light" w:cs="KoPubWorld바탕체_Pro Light"/>
          <w:sz w:val="16"/>
        </w:rPr>
        <w:t>경영진과 정치인, 투자자의 이해가 맞물렸다. 주가가 오르면 전환계획이 쉬워지고, 전환계획의 성공 가능성이 다시 주가를 올렸다. 신용으로 주식을 사고, 앞으로 받을 주식으로 현재의 지위를 약속하는 거래가 열기를 키웠다. 시장가격이 스스로를 정당화하는 순환이 시작되었다.</w:t>
      </w:r>
    </w:p>
    <w:p>
      <w:pPr>
        <w:pStyle w:val="aff3"/>
        <w:spacing w:line="259" w:lineRule="auto"/>
      </w:pPr>
      <w:r>
        <w:rPr>
          <w:rFonts w:ascii="KoPubWorld바탕체_Pro Light" w:hAnsi="KoPubWorld바탕체_Pro Light" w:eastAsia="KoPubWorld바탕체_Pro Light" w:cs="KoPubWorld바탕체_Pro Light"/>
          <w:sz w:val="16"/>
        </w:rPr>
        <w:t>새로 들어온 투자자는 높은 가격을 사업의 성공증거로 보았다. 먼저 산 사람의 이익은 뒤에 들어온 사람의 낙관을 강화했다. 가격이 정보라면 상승은 좋은 소식처럼 읽힌다. 그러나 같은 가격이 자금조달 계획의 전제라면, 가격은 성과를 반영하는 거울이 아니라 성과를 만들어 내는 도구가 된다.</w:t>
      </w:r>
    </w:p>
    <w:p>
      <w:pPr>
        <w:pStyle w:val="aff3"/>
        <w:spacing w:line="259" w:lineRule="auto"/>
      </w:pPr>
      <w:r>
        <w:rPr>
          <w:rFonts w:ascii="KoPubWorld바탕체_Pro Light" w:hAnsi="KoPubWorld바탕체_Pro Light" w:eastAsia="KoPubWorld바탕체_Pro Light" w:cs="KoPubWorld바탕체_Pro Light"/>
          <w:sz w:val="16"/>
        </w:rPr>
        <w:t>이때 회계의 역할이 중요해진다. 실현된 무역이익, 정부가 지급할 이자, 앞으로 주식을 발행해 얻을 이익이 뒤섞이면 투자자는 반복 가능한 수익과 일회성 금융이익을 구별하기 어렵다. 현대의 공시규제는 바로 이런 구별을 요구하지만, 1720년 시장에는 통일된 재무제표와 독립감사, 지속공시가 없었다.</w:t>
      </w:r>
      <w:r>
        <w:rPr>
          <w:rFonts w:ascii="KoPubWorld바탕체_Pro Light" w:hAnsi="KoPubWorld바탕체_Pro Light" w:eastAsia="KoPubWorld바탕체_Pro Light" w:cs="KoPubWorld바탕체_Pro Light"/>
          <w:sz w:val="14"/>
          <w:vertAlign w:val="superscript"/>
        </w:rPr>
        <w:t>26</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독점권 뒤에 가려진 바다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‘남해’라는 이름은 추상적인 성장시장이 아니었다. 스페인령 아메리카와의 무역, 특히 노예무역에 대한 권리와 연결되어 있었다. 회사의 판촉과 국가정책은 전쟁과 제국경쟁, 강제이주된 사람들의 노동을 바탕으로 했다. 영란은행의 역사자료도 남해회사의 설립과 거품을 영국의 전쟁부채 및 대서양 경제의 맥락에서 다룬다.</w:t>
      </w:r>
      <w:r>
        <w:rPr>
          <w:rFonts w:ascii="KoPubWorld바탕체_Pro Light" w:hAnsi="KoPubWorld바탕체_Pro Light" w:eastAsia="KoPubWorld바탕체_Pro Light" w:cs="KoPubWorld바탕체_Pro Light"/>
          <w:sz w:val="14"/>
          <w:vertAlign w:val="superscript"/>
        </w:rPr>
        <w:t>25</w:t>
      </w:r>
    </w:p>
    <w:p>
      <w:pPr>
        <w:pStyle w:val="aff3"/>
        <w:spacing w:line="259" w:lineRule="auto"/>
      </w:pPr>
      <w:r>
        <w:rPr>
          <w:rFonts w:ascii="KoPubWorld바탕체_Pro Light" w:hAnsi="KoPubWorld바탕체_Pro Light" w:eastAsia="KoPubWorld바탕체_Pro Light" w:cs="KoPubWorld바탕체_Pro Light"/>
          <w:sz w:val="16"/>
        </w:rPr>
        <w:t>투자자는 지구 반대편 사업의 실제 수익성과 비용을 알기 어려웠다. 정보의 거리는 상상력의 공간을 넓혔다. 독점권이라는 법적 특허는 아직 실현되지 않은 수익에 공적인 권위를 입혔다. 오늘날 정부의 인허가나 공공계약을 내세운 기업에 투자자가 더 큰 신뢰를 보내는 것과 비슷하다.</w:t>
      </w:r>
    </w:p>
    <w:p>
      <w:pPr>
        <w:pStyle w:val="aff3"/>
        <w:spacing w:line="259" w:lineRule="auto"/>
      </w:pPr>
      <w:r>
        <w:rPr>
          <w:rFonts w:ascii="KoPubWorld바탕체_Pro Light" w:hAnsi="KoPubWorld바탕체_Pro Light" w:eastAsia="KoPubWorld바탕체_Pro Light" w:cs="KoPubWorld바탕체_Pro Light"/>
          <w:sz w:val="16"/>
        </w:rPr>
        <w:t>그러나 특허는 수익을 보장하지 않는다. 외교관계, 전쟁, 항로와 현지권력, 물류비용이 독점권의 실질가치를 결정한다. 남해회사의 사례는 법이 배타적 권리를 만들어 기업가치를 높일 수 있지만, 법적 권리와 경제적 수익 사이의 간격까지 메우지는 못한다는 점을 보여 준다.</w:t>
      </w:r>
    </w:p>
    <w:p>
      <w:pPr>
        <w:pStyle w:val="aff3"/>
        <w:spacing w:line="259" w:lineRule="auto"/>
      </w:pPr>
      <w:r>
        <w:rPr>
          <w:rFonts w:ascii="KoPubWorld바탕체_Pro Light" w:hAnsi="KoPubWorld바탕체_Pro Light" w:eastAsia="KoPubWorld바탕체_Pro Light" w:cs="KoPubWorld바탕체_Pro Light"/>
          <w:sz w:val="16"/>
        </w:rPr>
        <w:t>또한 거품의 손실만 이야기하면 이 사업의 피해자가 투자자뿐인 것처럼 보인다. 회사의 기대수익에는 노예화된 사람의 거래가 포함되었다. 금융규제사는 누가 주가 하락의 손실을 졌는지와 함께, 어떤 현금흐름을 합법적 이익으로 인정했는지도 물어야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Bubble Act가 실제로 막으려 한 것</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1720년의 이른바 Bubble Act, 정식으로 6 Geo I c 18은 왕실 특허나 의회의 권한 없이 주식회사처럼 행동하고 양도 가능한 지분을 발행하는 사업을 겨냥했다.</w:t>
      </w:r>
      <w:r>
        <w:rPr>
          <w:rFonts w:ascii="KoPubWorld바탕체_Pro Light" w:hAnsi="KoPubWorld바탕체_Pro Light" w:eastAsia="KoPubWorld바탕체_Pro Light" w:cs="KoPubWorld바탕체_Pro Light"/>
          <w:sz w:val="14"/>
          <w:vertAlign w:val="superscript"/>
        </w:rPr>
        <w:t>26</w:t>
      </w:r>
      <w:r>
        <w:rPr>
          <w:rFonts w:ascii="KoPubWorld바탕체_Pro Light" w:hAnsi="KoPubWorld바탕체_Pro Light" w:eastAsia="KoPubWorld바탕체_Pro Light" w:cs="KoPubWorld바탕체_Pro Light"/>
          <w:sz w:val="16"/>
        </w:rPr>
        <w:t xml:space="preserve"> 법은 허위사업 설명만을 따로 처벌한 현대 공시법이 아니었다. 법인 형태와 주식 발행의 허가 여부를 통제하는 진입규제에 가까웠다.</w:t>
      </w:r>
    </w:p>
    <w:p>
      <w:pPr>
        <w:pStyle w:val="aff3"/>
        <w:spacing w:line="259" w:lineRule="auto"/>
      </w:pPr>
      <w:r>
        <w:rPr>
          <w:rFonts w:ascii="KoPubWorld바탕체_Pro Light" w:hAnsi="KoPubWorld바탕체_Pro Light" w:eastAsia="KoPubWorld바탕체_Pro Light" w:cs="KoPubWorld바탕체_Pro Light"/>
          <w:sz w:val="16"/>
        </w:rPr>
        <w:t>표면의 명분은 ‘유해한 사업’과 투기적 프로젝트로부터 대중을 보호하는 것이었다. 그러나 기존 특허회사에는 경쟁자를 줄이는 효과가 있었다. 남해회사는 법 집행을 촉구하며 주변 회사들을 압박할 수 있었다. 시장의 열기를 낮추기 위한 법이 거품의 중심에 있던 회사의 독점적 지위를 강화한 셈이다.</w:t>
      </w:r>
    </w:p>
    <w:p>
      <w:pPr>
        <w:pStyle w:val="aff3"/>
        <w:spacing w:line="259" w:lineRule="auto"/>
      </w:pPr>
      <w:r>
        <w:rPr>
          <w:rFonts w:ascii="KoPubWorld바탕체_Pro Light" w:hAnsi="KoPubWorld바탕체_Pro Light" w:eastAsia="KoPubWorld바탕체_Pro Light" w:cs="KoPubWorld바탕체_Pro Light"/>
          <w:sz w:val="16"/>
        </w:rPr>
        <w:t>이 역설은 규제의 동기를 하나로 단정하기 어렵게 한다. 공익적 우려와 사적 로비가 동시에 존재할 수 있다. 투자자를 보호하는 규칙이 기존 사업자의 시장점유율을 지킬 수 있고, 진입을 제한해 ‘허가받은 곳은 안전하다’는 오해를 키울 수도 있다. 규제의 효과는 법률 제목보다 누가 예외를 얻고 누가 집행을 요구할 수 있는지에서 드러난다.</w:t>
      </w:r>
    </w:p>
    <w:p>
      <w:pPr>
        <w:pStyle w:val="aff3"/>
        <w:spacing w:line="259" w:lineRule="auto"/>
      </w:pPr>
      <w:r>
        <w:rPr>
          <w:rFonts w:ascii="KoPubWorld바탕체_Pro Light" w:hAnsi="KoPubWorld바탕체_Pro Light" w:eastAsia="KoPubWorld바탕체_Pro Light" w:cs="KoPubWorld바탕체_Pro Light"/>
          <w:sz w:val="16"/>
        </w:rPr>
        <w:t>또 법 제정 시점이 중요하다. Bubble Act는 남해회사 주가가 무너진 뒤의 성찰이 아니었다. 열기가 한창일 때 시장질서를 둘러싼 싸움의 도구였다. 위기 뒤 규제라는 익숙한 도식으로는 이 사건을 설명할 수 없다. 때로 규제는 거품을 막기보다 거품 속 권리를 재배분한다.</w:t>
      </w:r>
    </w:p>
    <w:p>
      <w:pPr>
        <w:pStyle w:val="aff3"/>
        <w:spacing w:line="259" w:lineRule="auto"/>
      </w:pPr>
      <w:r>
        <w:rPr>
          <w:rFonts w:ascii="KoPubWorld바탕체_Pro Light" w:hAnsi="KoPubWorld바탕체_Pro Light" w:eastAsia="KoPubWorld바탕체_Pro Light" w:cs="KoPubWorld바탕체_Pro Light"/>
          <w:sz w:val="16"/>
        </w:rPr>
        <w:t>진입규제는 투자자의 판단에도 영향을 준다. 법이 허가받지 않은 회사를 금지하면, 사람들은 허가받은 회사를 정부가 검증했다고 오해할 수 있다. 실제로 특허는 특정한 법적 권한을 줄 뿐 사업의 수익성과 경영진의 정직을 보증하지 않는다. 인가와 보증을 구별하지 못하면 규제는 위험경고가 아니라 품질인증처럼 소비된다.</w:t>
      </w:r>
    </w:p>
    <w:p>
      <w:pPr>
        <w:pStyle w:val="aff3"/>
        <w:spacing w:line="259" w:lineRule="auto"/>
      </w:pPr>
      <w:r>
        <w:rPr>
          <w:rFonts w:ascii="KoPubWorld바탕체_Pro Light" w:hAnsi="KoPubWorld바탕체_Pro Light" w:eastAsia="KoPubWorld바탕체_Pro Light" w:cs="KoPubWorld바탕체_Pro Light"/>
          <w:sz w:val="16"/>
        </w:rPr>
        <w:t>이 문제는 오늘날에도 남는다. 은행면허, 거래소등록, 투자상품 신고가 있다는 사실을 원금보장으로 받아들이는 사람이 있다. 당국은 허가의 의미와 한계를 분명히 설명해야 한다. 시장진입 심사와 개별투자의 성패는 다른 문제다.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가격이 무너진 뒤 남은 것</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1720년 하반기 주가가 급락하자 많은 투자자가 손실을 입었고, 신용으로 주식을 산 사람의 곤경은 더 컸다.</w:t>
      </w:r>
      <w:r>
        <w:rPr>
          <w:rFonts w:ascii="KoPubWorld바탕체_Pro Light" w:hAnsi="KoPubWorld바탕체_Pro Light" w:eastAsia="KoPubWorld바탕체_Pro Light" w:cs="KoPubWorld바탕체_Pro Light"/>
          <w:sz w:val="14"/>
          <w:vertAlign w:val="superscript"/>
        </w:rPr>
        <w:t>25</w:t>
      </w:r>
      <w:r>
        <w:rPr>
          <w:rFonts w:ascii="KoPubWorld바탕체_Pro Light" w:hAnsi="KoPubWorld바탕체_Pro Light" w:eastAsia="KoPubWorld바탕체_Pro Light" w:cs="KoPubWorld바탕체_Pro Light"/>
          <w:sz w:val="16"/>
        </w:rPr>
        <w:t xml:space="preserve"> 가격상승기에 담보가치로 인정되던 주식이 하락하면 추가상환 요구와 강제매도가 이어진다. 한 사람의 매도가 다른 사람의 가격을 낮추고 다시 매도를 부르는 구조다. 오늘날의 마진콜과 다르지 않은 경제논리다.</w:t>
      </w:r>
    </w:p>
    <w:p>
      <w:pPr>
        <w:pStyle w:val="aff3"/>
        <w:spacing w:line="259" w:lineRule="auto"/>
      </w:pPr>
      <w:r>
        <w:rPr>
          <w:rFonts w:ascii="KoPubWorld바탕체_Pro Light" w:hAnsi="KoPubWorld바탕체_Pro Light" w:eastAsia="KoPubWorld바탕체_Pro Light" w:cs="KoPubWorld바탕체_Pro Light"/>
          <w:sz w:val="16"/>
        </w:rPr>
        <w:t>정치권은 책임을 조사하고 회사의 재산과 계약을 재조정했다. 하지만 모든 손실을 원상회복할 수는 없었다. 어느 가격에 산 투자자를 구제할지, 내부정보와 뇌물로 이익을 얻은 사람에게 무엇을 환수할지, 정부부채 전환을 어떻게 유지할지가 얽혔다. 위기수습도 손실배분의 정치였다.</w:t>
      </w:r>
    </w:p>
    <w:p>
      <w:pPr>
        <w:pStyle w:val="aff3"/>
        <w:spacing w:line="259" w:lineRule="auto"/>
      </w:pPr>
      <w:r>
        <w:rPr>
          <w:rFonts w:ascii="KoPubWorld바탕체_Pro Light" w:hAnsi="KoPubWorld바탕체_Pro Light" w:eastAsia="KoPubWorld바탕체_Pro Light" w:cs="KoPubWorld바탕체_Pro Light"/>
          <w:sz w:val="16"/>
        </w:rPr>
        <w:t>거품을 ‘비이성적 군중’ 탓으로만 돌리면 제도의 역할이 사라진다. 국채전환의 구조, 공적 특허, 신용매수, 제한된 정보, 정치인의 이해가 가격상승을 합리적으로 보이게 했다. 반대로 모든 투자자를 속은 피해자로만 그리면, 더 높은 가격에 되팔려는 동기와 위험선택을 지운다. 규제는 사기와 낙관, 혁신과 투기를 구별해야 하지만 실제 시장에서는 이들이 섞여 있다.</w:t>
      </w:r>
    </w:p>
    <w:p>
      <w:pPr>
        <w:pStyle w:val="aff3"/>
        <w:spacing w:line="259" w:lineRule="auto"/>
      </w:pPr>
      <w:r>
        <w:rPr>
          <w:rFonts w:ascii="KoPubWorld바탕체_Pro Light" w:hAnsi="KoPubWorld바탕체_Pro Light" w:eastAsia="KoPubWorld바탕체_Pro Light" w:cs="KoPubWorld바탕체_Pro Light"/>
          <w:sz w:val="16"/>
        </w:rPr>
        <w:t>내부자와 일반 투자자의 정보 차이도 손실의 공정성을 바꾼다. 회사계획을 먼저 알고 주식을 배정받은 사람이 가격상승기에 팔았다면, 같은 위험을 감수했다고 보기 어렵다. 단순한 가격하락은 범죄가 아니지만, 뇌물·은폐·허위설명은 시장의 동의를 왜곡한다. 이후 증권법이 가격 자체보다 정보와 거래행위를 규제하게 된 이유다.</w:t>
      </w:r>
    </w:p>
    <w:p>
      <w:pPr>
        <w:pStyle w:val="aff3"/>
        <w:spacing w:line="259" w:lineRule="auto"/>
      </w:pPr>
      <w:r>
        <w:rPr>
          <w:rFonts w:ascii="KoPubWorld바탕체_Pro Light" w:hAnsi="KoPubWorld바탕체_Pro Light" w:eastAsia="KoPubWorld바탕체_Pro Light" w:cs="KoPubWorld바탕체_Pro Light"/>
          <w:sz w:val="16"/>
        </w:rPr>
        <w:t>다만 완전한 정보가 있었다면 거품이 없었을 것이라고 단정할 수도 없다. 미래의 무역이익은 본질적으로 불확실하고, 같은 자료를 보고도 합리적인 평가가 달라질 수 있다. 공시는 사기를 줄이지만 낙관을 없애지 않는다. 규제의 성공기준은 가격이 항상 옳은가가 아니라, 투자자가 거짓 없이 선택하고 실패가 결제시스템 전체로 번지지 않는가에 두어야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사문화된 법과 법인제도의 지연</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Bubble Act는 이후 오랫동안 법전에 남았지만 일관되게 집행된 강력한 방패는 아니었다. 1825년 폐지 논의에서 의원들은 이 법을 사실상 사문화되었고 이해하기 어려운 규정으로 묘사했다.</w:t>
      </w:r>
      <w:r>
        <w:rPr>
          <w:rFonts w:ascii="KoPubWorld바탕체_Pro Light" w:hAnsi="KoPubWorld바탕체_Pro Light" w:eastAsia="KoPubWorld바탕체_Pro Light" w:cs="KoPubWorld바탕체_Pro Light"/>
          <w:sz w:val="14"/>
          <w:vertAlign w:val="superscript"/>
        </w:rPr>
        <w:t>27</w:t>
      </w:r>
      <w:r>
        <w:rPr>
          <w:rFonts w:ascii="KoPubWorld바탕체_Pro Light" w:hAnsi="KoPubWorld바탕체_Pro Light" w:eastAsia="KoPubWorld바탕체_Pro Light" w:cs="KoPubWorld바탕체_Pro Light"/>
          <w:sz w:val="16"/>
        </w:rPr>
        <w:t xml:space="preserve"> 법의 존재와 실제 시장통제 사이에는 큰 거리가 있었다.</w:t>
      </w:r>
    </w:p>
    <w:p>
      <w:pPr>
        <w:pStyle w:val="aff3"/>
        <w:spacing w:line="259" w:lineRule="auto"/>
      </w:pPr>
      <w:r>
        <w:rPr>
          <w:rFonts w:ascii="KoPubWorld바탕체_Pro Light" w:hAnsi="KoPubWorld바탕체_Pro Light" w:eastAsia="KoPubWorld바탕체_Pro Light" w:cs="KoPubWorld바탕체_Pro Light"/>
          <w:sz w:val="16"/>
        </w:rPr>
        <w:t>법이 완전히 무의미했던 것도 아니다. 의회나 왕실의 허가 없이 큰 주식회사를 만드는 일에 법적 불확실성을 더했고, 기업가가 동업과 신탁 같은 다른 형식을 찾게 했다. 진입을 막으면 위험한 사업만 줄어드는 것이 아니라 유용한 사업의 자본조달도 어려워진다. 산업화가 진행되면서 대규모 인프라와 제조업에 필요한 자본을 어떻게 모을지가 더 큰 문제가 되었다.</w:t>
      </w:r>
    </w:p>
    <w:p>
      <w:pPr>
        <w:pStyle w:val="aff3"/>
        <w:spacing w:line="259" w:lineRule="auto"/>
      </w:pPr>
      <w:r>
        <w:rPr>
          <w:rFonts w:ascii="KoPubWorld바탕체_Pro Light" w:hAnsi="KoPubWorld바탕체_Pro Light" w:eastAsia="KoPubWorld바탕체_Pro Light" w:cs="KoPubWorld바탕체_Pro Light"/>
          <w:sz w:val="16"/>
        </w:rPr>
        <w:t>1825년 의회는 Bubble Act를 폐지했다.</w:t>
      </w:r>
      <w:r>
        <w:rPr>
          <w:rFonts w:ascii="KoPubWorld바탕체_Pro Light" w:hAnsi="KoPubWorld바탕체_Pro Light" w:eastAsia="KoPubWorld바탕체_Pro Light" w:cs="KoPubWorld바탕체_Pro Light"/>
          <w:sz w:val="14"/>
          <w:vertAlign w:val="superscript"/>
        </w:rPr>
        <w:t>27</w:t>
      </w:r>
      <w:r>
        <w:rPr>
          <w:rFonts w:ascii="KoPubWorld바탕체_Pro Light" w:hAnsi="KoPubWorld바탕체_Pro Light" w:eastAsia="KoPubWorld바탕체_Pro Light" w:cs="KoPubWorld바탕체_Pro Light"/>
          <w:sz w:val="16"/>
        </w:rPr>
        <w:t xml:space="preserve"> 폐지는 곧 무규제의 승리가 아니었다. 이후 회사등록, 공시, 감사, 유한책임과 청산 규칙을 갖춘 새로운 법인제도가 자라났다. 허가받지 않은 주식회사를 통째로 금지하는 방식에서, 등록을 허용하되 정보를 내놓고 절차를 따르게 하는 방식으로 이동한 것이다.</w:t>
      </w:r>
    </w:p>
    <w:p>
      <w:pPr>
        <w:pStyle w:val="aff3"/>
        <w:spacing w:line="259" w:lineRule="auto"/>
      </w:pPr>
      <w:r>
        <w:rPr>
          <w:rFonts w:ascii="KoPubWorld바탕체_Pro Light" w:hAnsi="KoPubWorld바탕체_Pro Light" w:eastAsia="KoPubWorld바탕체_Pro Light" w:cs="KoPubWorld바탕체_Pro Light"/>
          <w:sz w:val="16"/>
        </w:rPr>
        <w:t>이 변화는 금융규제의 중요한 전환이다. 위험한 사업을 미리 골라 모두 막을 수 있다는 생각보다, 참가자가 위험을 판단할 수 있도록 법적 형식과 정보를 표준화하는 접근이 커졌다. 그러나 공시가 정확하다는 보장, 투자자가 이해한다는 보장, 사기 뒤에 손실을 회수할 수 있다는 보장은 여전히 별도의 문제였다.</w:t>
      </w:r>
    </w:p>
    <w:p>
      <w:pPr>
        <w:pStyle w:val="aff3"/>
        <w:spacing w:line="259" w:lineRule="auto"/>
      </w:pPr>
      <w:r>
        <w:rPr>
          <w:rFonts w:ascii="KoPubWorld바탕체_Pro Light" w:hAnsi="KoPubWorld바탕체_Pro Light" w:eastAsia="KoPubWorld바탕체_Pro Light" w:cs="KoPubWorld바탕체_Pro Light"/>
          <w:sz w:val="16"/>
        </w:rPr>
        <w:t>등록제는 허가제보다 문을 넓히지만 책임을 투자자에게 더 많이 돌린다. 필요한 정보를 내놓은 회사라면 위험한 사업도 자금을 모을 수 있다. 이 자유가 작동하려면 거짓정보에 대한 책임, 장부를 검사할 감사, 회사가 실패했을 때 남은 재산을 나눌 청산절차가 필요하다. 다음 세대의 회사법은 이 보조장치를 하나씩 만들었다.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거품을 법으로 없앨 수 없는 이유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법은 명백한 허위와 무권한 발행을 줄이고, 이해상충을 공개하게 하며, 신용매수와 시장조작을 제한할 수 있다. 하지만 미래이익에 대한 낙관을 숫자로 금지할 수는 없다. 혁신기업의 높은 가격과 거품을 실시간으로 구별하기도 어렵다. 가격이 올랐다는 이유만으로 거래를 막으면 진짜 성장의 자금조달까지 차단할 수 있다.</w:t>
      </w:r>
    </w:p>
    <w:p>
      <w:pPr>
        <w:pStyle w:val="aff3"/>
        <w:spacing w:line="259" w:lineRule="auto"/>
      </w:pPr>
      <w:r>
        <w:rPr>
          <w:rFonts w:ascii="KoPubWorld바탕체_Pro Light" w:hAnsi="KoPubWorld바탕체_Pro Light" w:eastAsia="KoPubWorld바탕체_Pro Light" w:cs="KoPubWorld바탕체_Pro Light"/>
          <w:sz w:val="16"/>
        </w:rPr>
        <w:t>그렇다고 손을 놓을 수도 없다. 거품이 차입과 지급결제, 공공부채에 연결될수록 붕괴의 비용은 자발적으로 투자한 사람을 넘어선다. 남해회사의 경우 정부부채 관리와 회사주가가 얽혀 있었다. 시장가격의 실패가 국가신용의 실패로 번질 수 있었다. 규제의 목표는 모든 가격오류를 바로잡는 것이 아니라, 오류가 공적 시스템을 무너뜨리는 경로를 제한하는 데 있다.</w:t>
      </w:r>
    </w:p>
    <w:p>
      <w:pPr>
        <w:pStyle w:val="aff3"/>
        <w:spacing w:line="259" w:lineRule="auto"/>
      </w:pPr>
      <w:r>
        <w:rPr>
          <w:rFonts w:ascii="KoPubWorld바탕체_Pro Light" w:hAnsi="KoPubWorld바탕체_Pro Light" w:eastAsia="KoPubWorld바탕체_Pro Light" w:cs="KoPubWorld바탕체_Pro Light"/>
          <w:sz w:val="16"/>
        </w:rPr>
        <w:t>남해회사 사건이 남긴 가장 큰 교훈은 ‘거품 뒤에는 강한 법’이라는 단순한 진자가 아니다. Bubble Act는 거품 중에 만들어져 중심기업을 도왔고, 오랫동안 불명확하게 남았다.</w:t>
      </w:r>
      <w:r>
        <w:rPr>
          <w:rFonts w:ascii="KoPubWorld바탕체_Pro Light" w:hAnsi="KoPubWorld바탕체_Pro Light" w:eastAsia="KoPubWorld바탕체_Pro Light" w:cs="KoPubWorld바탕체_Pro Light"/>
          <w:sz w:val="14"/>
          <w:vertAlign w:val="superscript"/>
        </w:rPr>
        <w:t>26</w:t>
      </w:r>
      <w:r>
        <w:rPr>
          <w:rFonts w:ascii="KoPubWorld바탕체_Pro Light" w:hAnsi="KoPubWorld바탕체_Pro Light" w:eastAsia="KoPubWorld바탕체_Pro Light" w:cs="KoPubWorld바탕체_Pro Light"/>
          <w:sz w:val="14"/>
          <w:vertAlign w:val="superscript"/>
        </w:rPr>
        <w:t>27</w:t>
      </w:r>
      <w:r>
        <w:rPr>
          <w:rFonts w:ascii="KoPubWorld바탕체_Pro Light" w:hAnsi="KoPubWorld바탕체_Pro Light" w:eastAsia="KoPubWorld바탕체_Pro Light" w:cs="KoPubWorld바탕체_Pro Light"/>
          <w:sz w:val="16"/>
        </w:rPr>
        <w:t xml:space="preserve"> 위기를 계기로 생긴 법도 이해관계에 포획될 수 있으며, 엄격한 진입규제가 투자자에게 거짓 안전감을 줄 수 있다.</w:t>
      </w:r>
    </w:p>
    <w:p>
      <w:pPr>
        <w:pStyle w:val="aff3"/>
        <w:spacing w:line="259" w:lineRule="auto"/>
      </w:pPr>
      <w:r>
        <w:rPr>
          <w:rFonts w:ascii="KoPubWorld바탕체_Pro Light" w:hAnsi="KoPubWorld바탕체_Pro Light" w:eastAsia="KoPubWorld바탕체_Pro Light" w:cs="KoPubWorld바탕체_Pro Light"/>
          <w:sz w:val="16"/>
        </w:rPr>
        <w:t>거품은 법 바깥의 광기가 아니었다. 국채, 특허, 법인, 신용계약이라는 법적 장치 위에서 자랐다. 그러므로 해법도 시장을 닫는 한 문장이 될 수 없다. 누가 회사를 만들 수 있는지, 무엇을 공개해야 하는지, 경영자가 어떤 책임을 지는지, 빚으로 산 주식의 손실이 어디까지 번지는지를 함께 정해야 한다. 다음 장에서 등장할 등록과 유한책임은 바로 이 문제에 대한 새로운 답이었다. 그것은 더 많은 기업을 허용했지만, 위험을 사라지게 하지 않고 다른 사람에게 옮겼다.</w:t>
      </w:r>
    </w:p>
    <w:p>
      <w:r>
        <w:br w:type="page"/>
      </w:r>
    </w:p>
    <w:p>
      <w:pPr>
        <w:spacing w:before="1720" w:after="0"/>
      </w:pPr>
    </w:p>
    <w:p>
      <w:pPr>
        <w:pStyle w:val="aff9"/>
        <w:jc w:val="center"/>
      </w:pPr>
      <w:r>
        <w:rPr>
          <w:rFonts w:ascii="Noto Sans CJK KR" w:hAnsi="Noto Sans CJK KR" w:eastAsia="Noto Sans CJK KR" w:cs="Noto Sans CJK KR"/>
          <w:b/>
          <w:sz w:val="22"/>
        </w:rPr>
        <w:t>2부</w:t>
      </w:r>
    </w:p>
    <w:p>
      <w:pPr>
        <w:pStyle w:val="affa"/>
        <w:jc w:val="center"/>
      </w:pPr>
      <w:r>
        <w:rPr>
          <w:rFonts w:ascii="KoPubWorld바탕체_Pro Bold" w:hAnsi="KoPubWorld바탕체_Pro Bold" w:eastAsia="KoPubWorld바탕체_Pro Bold" w:cs="KoPubWorld바탕체_Pro Bold"/>
          <w:b/>
          <w:sz w:val="36"/>
        </w:rPr>
        <w:t>공황이 만든 금융국가</w:t>
      </w:r>
    </w:p>
    <w:p>
      <w:pPr>
        <w:pStyle w:val="affb"/>
        <w:jc w:val="center"/>
      </w:pPr>
      <w:r>
        <w:rPr>
          <w:rFonts w:ascii="KoPubWorld바탕체_Pro Light" w:hAnsi="KoPubWorld바탕체_Pro Light" w:eastAsia="KoPubWorld바탕체_Pro Light" w:cs="KoPubWorld바탕체_Pro Light"/>
          <w:sz w:val="19"/>
        </w:rPr>
        <w:t>공황은 중앙은행·예금보험·공시기관·국제통화질서라는 실패 흡수 장치를 만들었다.</w:t>
      </w:r>
    </w:p>
    <w:p>
      <w:r>
        <w:br w:type="page"/>
      </w:r>
    </w:p>
    <w:p>
      <w:pPr>
        <w:spacing w:before="480" w:after="0"/>
      </w:pPr>
    </w:p>
    <w:p>
      <w:pPr>
        <w:keepNext/>
        <w:jc w:val="center"/>
      </w:pPr>
      <w:r>
        <w:drawing>
          <wp:inline xmlns:a="http://schemas.openxmlformats.org/drawingml/2006/main" xmlns:pic="http://schemas.openxmlformats.org/drawingml/2006/picture">
            <wp:extent cx="3941063" cy="2218026"/>
            <wp:docPr id="4" name="Picture 4" descr="공황이 만든 금융국가" title="공황이 만든 금융국가"/>
            <wp:cNvGraphicFramePr>
              <a:graphicFrameLocks noChangeAspect="1"/>
            </wp:cNvGraphicFramePr>
            <a:graphic>
              <a:graphicData uri="http://schemas.openxmlformats.org/drawingml/2006/picture">
                <pic:pic>
                  <pic:nvPicPr>
                    <pic:cNvPr id="0" name="part2_bank_run_gray_q86.jpg"/>
                    <pic:cNvPicPr/>
                  </pic:nvPicPr>
                  <pic:blipFill>
                    <a:blip r:embed="rId43"/>
                    <a:stretch>
                      <a:fillRect/>
                    </a:stretch>
                  </pic:blipFill>
                  <pic:spPr>
                    <a:xfrm>
                      <a:off x="0" y="0"/>
                      <a:ext cx="3941063" cy="2218026"/>
                    </a:xfrm>
                    <a:prstGeom prst="rect"/>
                  </pic:spPr>
                </pic:pic>
              </a:graphicData>
            </a:graphic>
          </wp:inline>
        </w:drawing>
      </w:r>
    </w:p>
    <w:p>
      <w:pPr>
        <w:spacing w:before="140" w:after="0"/>
      </w:pPr>
    </w:p>
    <w:p>
      <w:pPr>
        <w:pStyle w:val="affb"/>
        <w:jc w:val="center"/>
      </w:pPr>
      <w:r>
        <w:rPr>
          <w:rFonts w:ascii="KoPubWorld바탕체_Pro Light" w:hAnsi="KoPubWorld바탕체_Pro Light" w:eastAsia="KoPubWorld바탕체_Pro Light" w:cs="KoPubWorld바탕체_Pro Light"/>
          <w:sz w:val="19"/>
        </w:rPr>
        <w:t>공황이 만든 금융국가</w:t>
      </w:r>
    </w:p>
    <w:p>
      <w:r>
        <w:br w:type="page"/>
      </w:r>
    </w:p>
    <w:p>
      <w:pPr>
        <w:pStyle w:val="aff2"/>
        <w:spacing w:before="440"/>
        <w:jc w:val="center"/>
      </w:pPr>
      <w:r>
        <w:rPr>
          <w:rFonts w:ascii="KoPubWorld바탕체_Pro Bold" w:hAnsi="KoPubWorld바탕체_Pro Bold" w:eastAsia="KoPubWorld바탕체_Pro Bold" w:cs="KoPubWorld바탕체_Pro Bold"/>
          <w:b/>
          <w:sz w:val="24"/>
        </w:rPr>
        <w:t>Chapter. 07</w:t>
      </w:r>
    </w:p>
    <w:p>
      <w:pPr>
        <w:pStyle w:val="aff1"/>
        <w:jc w:val="center"/>
      </w:pPr>
      <w:r>
        <w:rPr>
          <w:rFonts w:ascii="KoPubWorld바탕체_Pro Bold" w:hAnsi="KoPubWorld바탕체_Pro Bold" w:eastAsia="KoPubWorld바탕체_Pro Bold" w:cs="KoPubWorld바탕체_Pro Bold"/>
          <w:b/>
          <w:sz w:val="28"/>
        </w:rPr>
        <w:t>유한책임이라는 위험 배분 — 등록·공시·감사의 탄생</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철도회사가 선로를 놓기 위해 수백 명에게서 돈을 모았다고 하자. 공사가 지연되고 비용이 불어나 회사가 파산한다. 주주는 투자한 돈을 모두 잃었다. 그런데도 채권자는 남은 빚을 갚으라며 주주의 집과 토지까지 찾아갈 수 있을까. 작은 지분을 산 사람의 책임이 회사의 모든 채무에 끝없이 이어진다면, 낯선 사람들과 큰 사업에 투자할 사람은 많지 않을 것이다.</w:t>
      </w:r>
    </w:p>
    <w:p>
      <w:pPr>
        <w:pStyle w:val="aff3"/>
        <w:spacing w:line="259" w:lineRule="auto"/>
      </w:pPr>
      <w:r>
        <w:rPr>
          <w:rFonts w:ascii="KoPubWorld바탕체_Pro Light" w:hAnsi="KoPubWorld바탕체_Pro Light" w:eastAsia="KoPubWorld바탕체_Pro Light" w:cs="KoPubWorld바탕체_Pro Light"/>
          <w:sz w:val="16"/>
        </w:rPr>
        <w:t>반대편에는 물품을 납품하고 대금을 못 받은 상인이 있다. 그는 회사의 이름과 자산을 믿고 거래했는데 주주가 출자액만 잃고 떠난다면 손실을 대신 떠안는다. 유한책임은 위험을 없애는 제도가 아니다. 기업 실패의 손실을 주주의 개인재산에서 회사 채권자와 종업원, 때로는 사회로 옮기는 제도다. 19세기 회사법의 혁신은 ‘투자를 자유롭게 했다’는 문장보다 ‘누구의 재산에 선을 그었는가’라는 질문으로 읽어야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특허에서 등록으로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18세기의 큰 주식회사는 왕실 특허나 의회의 개별 법률에 의존하는 경우가 많았다. 법인격과 양도 가능한 주식을 얻는 일은 일반인이 신청해 정해진 요건만 충족하면 되는 행정절차가 아니었다. 정치적 관계와 비용이 필요했다. Bubble Act가 1825년 폐지된 뒤에도 어떤 단체가 법인이고 누가 채무를 지는지의 불확실성은 남았다.</w:t>
      </w:r>
      <w:r>
        <w:rPr>
          <w:rFonts w:ascii="KoPubWorld바탕체_Pro Light" w:hAnsi="KoPubWorld바탕체_Pro Light" w:eastAsia="KoPubWorld바탕체_Pro Light" w:cs="KoPubWorld바탕체_Pro Light"/>
          <w:sz w:val="14"/>
          <w:vertAlign w:val="superscript"/>
        </w:rPr>
        <w:t>27</w:t>
      </w:r>
    </w:p>
    <w:p>
      <w:pPr>
        <w:pStyle w:val="aff3"/>
        <w:spacing w:line="259" w:lineRule="auto"/>
      </w:pPr>
      <w:r>
        <w:rPr>
          <w:rFonts w:ascii="KoPubWorld바탕체_Pro Light" w:hAnsi="KoPubWorld바탕체_Pro Light" w:eastAsia="KoPubWorld바탕체_Pro Light" w:cs="KoPubWorld바탕체_Pro Light"/>
          <w:sz w:val="16"/>
        </w:rPr>
        <w:t>산업혁명은 더 많은 자본을 요구했다. 철도, 광산, 공장과 공공설비는 가족과 소수 동업자의 재산만으로 감당하기 어려웠다. 수많은 투자자의 돈을 모으되, 구성원이 바뀌어도 회사가 계속 계약하고 재산을 보유할 법적 그릇이 필요했다. 매번 의회의 특별허가를 받는 방식은 느리고 비쌌다.</w:t>
      </w:r>
    </w:p>
    <w:p>
      <w:pPr>
        <w:pStyle w:val="aff3"/>
        <w:spacing w:line="259" w:lineRule="auto"/>
      </w:pPr>
      <w:r>
        <w:rPr>
          <w:rFonts w:ascii="KoPubWorld바탕체_Pro Light" w:hAnsi="KoPubWorld바탕체_Pro Light" w:eastAsia="KoPubWorld바탕체_Pro Light" w:cs="KoPubWorld바탕체_Pro Light"/>
          <w:sz w:val="16"/>
        </w:rPr>
        <w:t>Joint Stock Companies Act 1844는 일정한 회사가 등록을 통해 법적 지위를 얻고, 설립과 경영에 관한 문서를 제출하게 하는 전환점이었다. 당시 의회 토론은 회사의 발기인과 이사, 자본구조에 관한 정보를 공개기록으로 만들고 사기성 사업을 억제할 필요를 강조했다.</w:t>
      </w:r>
      <w:r>
        <w:rPr>
          <w:rFonts w:ascii="KoPubWorld바탕체_Pro Light" w:hAnsi="KoPubWorld바탕체_Pro Light" w:eastAsia="KoPubWorld바탕체_Pro Light" w:cs="KoPubWorld바탕체_Pro Light"/>
          <w:sz w:val="14"/>
          <w:vertAlign w:val="superscript"/>
        </w:rPr>
        <w:t>28</w:t>
      </w:r>
      <w:r>
        <w:rPr>
          <w:rFonts w:ascii="KoPubWorld바탕체_Pro Light" w:hAnsi="KoPubWorld바탕체_Pro Light" w:eastAsia="KoPubWorld바탕체_Pro Light" w:cs="KoPubWorld바탕체_Pro Light"/>
          <w:sz w:val="16"/>
        </w:rPr>
        <w:t xml:space="preserve"> 국립기록원도 1844년 법을 회사등록 제도의 중요한 출발로 설명한다.</w:t>
      </w:r>
      <w:r>
        <w:rPr>
          <w:rFonts w:ascii="KoPubWorld바탕체_Pro Light" w:hAnsi="KoPubWorld바탕체_Pro Light" w:eastAsia="KoPubWorld바탕체_Pro Light" w:cs="KoPubWorld바탕체_Pro Light"/>
          <w:sz w:val="14"/>
          <w:vertAlign w:val="superscript"/>
        </w:rPr>
        <w:t>29</w:t>
      </w:r>
    </w:p>
    <w:p>
      <w:pPr>
        <w:pStyle w:val="aff3"/>
        <w:spacing w:line="259" w:lineRule="auto"/>
      </w:pPr>
      <w:r>
        <w:rPr>
          <w:rFonts w:ascii="KoPubWorld바탕체_Pro Light" w:hAnsi="KoPubWorld바탕체_Pro Light" w:eastAsia="KoPubWorld바탕체_Pro Light" w:cs="KoPubWorld바탕체_Pro Light"/>
          <w:sz w:val="16"/>
        </w:rPr>
        <w:t>등록은 허가보다 문을 넓혔다. 정부가 사업의 유망성을 심사해 승인하기보다, 정해진 형식과 정보를 갖추면 회사가 될 수 있었다. 기업가에게 자유가 늘어난 만큼 투자자와 거래상대가 서류를 보고 판단해야 할 책임도 커졌다. 규제는 ‘사업을 해도 되는가’에서 ‘누구이며 무엇을 약속했는가를 밝혔는가’로 이동했다.</w:t>
      </w:r>
    </w:p>
    <w:p>
      <w:pPr>
        <w:pStyle w:val="aff3"/>
        <w:spacing w:line="259" w:lineRule="auto"/>
      </w:pPr>
      <w:r>
        <w:rPr>
          <w:rFonts w:ascii="KoPubWorld바탕체_Pro Light" w:hAnsi="KoPubWorld바탕체_Pro Light" w:eastAsia="KoPubWorld바탕체_Pro Light" w:cs="KoPubWorld바탕체_Pro Light"/>
          <w:sz w:val="16"/>
        </w:rPr>
        <w:t>이 전환은 행정의 성격도 바꾸었다. 개별 기업의 유용성을 토론하던 의회 대신, 등록기관이 형식요건을 반복적으로 확인했다. 재량이 줄면 특혜와 지연이 줄어들 수 있지만, 형식만 맞춘 위험한 회사도 쉽게 들어온다. 등록기관이 실질을 심사하는지 단순히 문서를 받는지에 따라 시장이 느끼는 ‘승인’의 의미가 달라졌다.</w:t>
      </w:r>
    </w:p>
    <w:p>
      <w:pPr>
        <w:pStyle w:val="aff3"/>
        <w:spacing w:line="259" w:lineRule="auto"/>
      </w:pPr>
      <w:r>
        <w:rPr>
          <w:rFonts w:ascii="KoPubWorld바탕체_Pro Light" w:hAnsi="KoPubWorld바탕체_Pro Light" w:eastAsia="KoPubWorld바탕체_Pro Light" w:cs="KoPubWorld바탕체_Pro Light"/>
          <w:sz w:val="16"/>
        </w:rPr>
        <w:t>회사 이름의 규칙도 중요했다. 투자자와 채권자는 거래상대가 유한책임 법인인지 알아야 위험을 조정할 수 있다. 법인형식이 외부에 표시되지 않으면 책임 제한은 내부자에게만 보이는 특권이 된다. 오늘날 회사명 뒤의 ‘Ltd’와 같은 표지는 작은 공시이지만 손실배분의 경계를 알리는 경고다.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공시는 자유의 대가였는가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회사의 이름 뒤에는 사람이 숨을 수 있다. 발기인은 주식을 팔고 떠나고, 이사는 다른 사람의 돈으로 위험을 택한다. 등록부에 설립문서와 자본, 임원의 이름을 남기면 채권자와 투자자는 최소한 누구와 거래하는지 확인할 수 있다. 공시는 법인이라는 인공적 인격에 얼굴을 붙이는 장치였다.</w:t>
      </w:r>
    </w:p>
    <w:p>
      <w:pPr>
        <w:pStyle w:val="aff3"/>
        <w:spacing w:line="259" w:lineRule="auto"/>
      </w:pPr>
      <w:r>
        <w:rPr>
          <w:rFonts w:ascii="KoPubWorld바탕체_Pro Light" w:hAnsi="KoPubWorld바탕체_Pro Light" w:eastAsia="KoPubWorld바탕체_Pro Light" w:cs="KoPubWorld바탕체_Pro Light"/>
          <w:sz w:val="16"/>
        </w:rPr>
        <w:t>하지만 정보가 존재하는 것과 이해되는 것은 다르다. 장부를 열람할 시간과 회계지식이 없는 소액투자자는 화려한 설명에 의존한다. 제출된 자본금이 실제로 납입되었는지, 자산이 과대평가되었는지, 이사와 회사의 거래가 공정한지 확인하려면 단순 등록을 넘어선 회계와 감사가 필요하다. 공시규제는 서류의 양이 아니라 검증 가능성과 비교 가능성으로 평가해야 한다.</w:t>
      </w:r>
    </w:p>
    <w:p>
      <w:pPr>
        <w:pStyle w:val="aff3"/>
        <w:spacing w:line="259" w:lineRule="auto"/>
      </w:pPr>
      <w:r>
        <w:rPr>
          <w:rFonts w:ascii="KoPubWorld바탕체_Pro Light" w:hAnsi="KoPubWorld바탕체_Pro Light" w:eastAsia="KoPubWorld바탕체_Pro Light" w:cs="KoPubWorld바탕체_Pro Light"/>
          <w:sz w:val="16"/>
        </w:rPr>
        <w:t>1844년 법은 회사설립의 일반절차와 함께 회계정보 및 감사에 관한 초기 장치를 마련했지만, 집행과 실무는 제한적이었다.</w:t>
      </w:r>
      <w:r>
        <w:rPr>
          <w:rFonts w:ascii="KoPubWorld바탕체_Pro Light" w:hAnsi="KoPubWorld바탕체_Pro Light" w:eastAsia="KoPubWorld바탕체_Pro Light" w:cs="KoPubWorld바탕체_Pro Light"/>
          <w:sz w:val="14"/>
          <w:vertAlign w:val="superscript"/>
        </w:rPr>
        <w:t>29</w:t>
      </w:r>
      <w:r>
        <w:rPr>
          <w:rFonts w:ascii="KoPubWorld바탕체_Pro Light" w:hAnsi="KoPubWorld바탕체_Pro Light" w:eastAsia="KoPubWorld바탕체_Pro Light" w:cs="KoPubWorld바탕체_Pro Light"/>
          <w:sz w:val="16"/>
        </w:rPr>
        <w:t xml:space="preserve"> 모든 투자자가 등록서류를 꼼꼼히 읽는다는 가정도 비현실적이었다. 사기꾼은 거짓 숫자를 제출하거나 중요한 사실을 합법적인 문장 뒤에 숨길 수 있었다.</w:t>
      </w:r>
    </w:p>
    <w:p>
      <w:pPr>
        <w:pStyle w:val="aff3"/>
        <w:spacing w:line="259" w:lineRule="auto"/>
      </w:pPr>
      <w:r>
        <w:rPr>
          <w:rFonts w:ascii="KoPubWorld바탕체_Pro Light" w:hAnsi="KoPubWorld바탕체_Pro Light" w:eastAsia="KoPubWorld바탕체_Pro Light" w:cs="KoPubWorld바탕체_Pro Light"/>
          <w:sz w:val="16"/>
        </w:rPr>
        <w:t>그럼에도 공시는 시장을 바꾸었다. 정보가 표준화되면 중개인과 언론, 경쟁자가 비교할 수 있고, 거짓말을 사후에 입증하기 쉬워진다. 공시는 개별 투자자가 혼자 회사를 조사하는 비용을 줄인다. 공개된 정보는 규제당국만의 자료가 아니라 시장 전체가 감시에 참여하게 하는 공공재다.</w:t>
      </w:r>
    </w:p>
    <w:p>
      <w:pPr>
        <w:pStyle w:val="aff3"/>
        <w:spacing w:line="259" w:lineRule="auto"/>
      </w:pPr>
      <w:r>
        <w:rPr>
          <w:rFonts w:ascii="KoPubWorld바탕체_Pro Light" w:hAnsi="KoPubWorld바탕체_Pro Light" w:eastAsia="KoPubWorld바탕체_Pro Light" w:cs="KoPubWorld바탕체_Pro Light"/>
          <w:sz w:val="16"/>
        </w:rPr>
        <w:t>공시의 시점도 중요하다. 설립 때 한 번 낸 정보는 회사가 차입하고 자산을 팔면서 곧 낡는다. 지속적인 재무보고가 없다면 등록부는 과거의 사진에 불과하다. 초기 회사법이 설립공시에서 정기회계와 감사로 발전한 것은 회사가 계속 움직이는 조직이기 때문이다.</w:t>
      </w:r>
    </w:p>
    <w:p>
      <w:pPr>
        <w:pStyle w:val="aff3"/>
        <w:spacing w:line="259" w:lineRule="auto"/>
      </w:pPr>
      <w:r>
        <w:rPr>
          <w:rFonts w:ascii="KoPubWorld바탕체_Pro Light" w:hAnsi="KoPubWorld바탕체_Pro Light" w:eastAsia="KoPubWorld바탕체_Pro Light" w:cs="KoPubWorld바탕체_Pro Light"/>
          <w:sz w:val="16"/>
        </w:rPr>
        <w:t>공시의 책임을 투자자에게만 돌려서도 안 된다. 거짓말이 발견되어도 경영자가 이미 재산을 빼돌렸다면 정보는 늦다. 제출내용을 검사하고, 허위진술에 민형사 책임을 묻고, 손해배상 집행이 가능해야 한다. 투명성은 집행을 대신하지 않고 집행의 출발점이다.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1855년, 개인재산 앞에 선을 긋다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등록제도가 생겼다고 주주의 책임이 자동으로 제한된 것은 아니었다. 유한책임을 일반적으로 인정할지를 두고 격렬한 논쟁이 이어졌다. 찬성자는 무한책임이 중간계층의 저축을 산업투자로 끌어들이지 못하게 하고, 소액주주가 자신이 통제하지 못하는 경영행위에 끝없이 책임지는 것은 부당하다고 주장했다. 반대자는 자본이 적은 회사가 타인의 돈으로 도박하게 된다고 경고했다.</w:t>
      </w:r>
      <w:r>
        <w:rPr>
          <w:rFonts w:ascii="KoPubWorld바탕체_Pro Light" w:hAnsi="KoPubWorld바탕체_Pro Light" w:eastAsia="KoPubWorld바탕체_Pro Light" w:cs="KoPubWorld바탕체_Pro Light"/>
          <w:sz w:val="14"/>
          <w:vertAlign w:val="superscript"/>
        </w:rPr>
        <w:t>30</w:t>
      </w:r>
    </w:p>
    <w:p>
      <w:pPr>
        <w:pStyle w:val="aff3"/>
        <w:spacing w:line="259" w:lineRule="auto"/>
      </w:pPr>
      <w:r>
        <w:rPr>
          <w:rFonts w:ascii="KoPubWorld바탕체_Pro Light" w:hAnsi="KoPubWorld바탕체_Pro Light" w:eastAsia="KoPubWorld바탕체_Pro Light" w:cs="KoPubWorld바탕체_Pro Light"/>
          <w:sz w:val="16"/>
        </w:rPr>
        <w:t>Limited Liability Act 1855는 일정한 주식회사 주주의 책임을 미납입 주식액의 범위와 연결하는 일반적 길을 열었다. 법의 정식 인용은 18 &amp; 19 Vict c 133이다.</w:t>
      </w:r>
      <w:r>
        <w:rPr>
          <w:rFonts w:ascii="KoPubWorld바탕체_Pro Light" w:hAnsi="KoPubWorld바탕체_Pro Light" w:eastAsia="KoPubWorld바탕체_Pro Light" w:cs="KoPubWorld바탕체_Pro Light"/>
          <w:sz w:val="14"/>
          <w:vertAlign w:val="superscript"/>
        </w:rPr>
        <w:t>31</w:t>
      </w:r>
      <w:r>
        <w:rPr>
          <w:rFonts w:ascii="KoPubWorld바탕체_Pro Light" w:hAnsi="KoPubWorld바탕체_Pro Light" w:eastAsia="KoPubWorld바탕체_Pro Light" w:cs="KoPubWorld바탕체_Pro Light"/>
          <w:sz w:val="16"/>
        </w:rPr>
        <w:t xml:space="preserve"> 이어진 1856년 회사법과 Companies Act 1862는 설립·유한책임·청산의 틀을 더 넓고 일관되게 정비했다.</w:t>
      </w:r>
      <w:r>
        <w:rPr>
          <w:rFonts w:ascii="KoPubWorld바탕체_Pro Light" w:hAnsi="KoPubWorld바탕체_Pro Light" w:eastAsia="KoPubWorld바탕체_Pro Light" w:cs="KoPubWorld바탕체_Pro Light"/>
          <w:sz w:val="14"/>
          <w:vertAlign w:val="superscript"/>
        </w:rPr>
        <w:t>29</w:t>
      </w:r>
    </w:p>
    <w:p>
      <w:pPr>
        <w:pStyle w:val="aff3"/>
        <w:spacing w:line="259" w:lineRule="auto"/>
      </w:pPr>
      <w:r>
        <w:rPr>
          <w:rFonts w:ascii="KoPubWorld바탕체_Pro Light" w:hAnsi="KoPubWorld바탕체_Pro Light" w:eastAsia="KoPubWorld바탕체_Pro Light" w:cs="KoPubWorld바탕체_Pro Light"/>
          <w:sz w:val="16"/>
        </w:rPr>
        <w:t>유한책임의 효과는 강력했다. 투자자는 최악의 손실을 미리 계산할 수 있었고, 지분은 개인의 전체 재산상태를 조사하지 않아도 더 쉽게 거래되었다. 소유권이 넓게 분산되고 주식시장이 성장할 조건이 마련되었다. 회사는 주주의 사망과 탈퇴를 넘어 계속되는 자본의 그릇이 되었다.</w:t>
      </w:r>
    </w:p>
    <w:p>
      <w:pPr>
        <w:pStyle w:val="aff3"/>
        <w:spacing w:line="259" w:lineRule="auto"/>
      </w:pPr>
      <w:r>
        <w:rPr>
          <w:rFonts w:ascii="KoPubWorld바탕체_Pro Light" w:hAnsi="KoPubWorld바탕체_Pro Light" w:eastAsia="KoPubWorld바탕체_Pro Light" w:cs="KoPubWorld바탕체_Pro Light"/>
          <w:sz w:val="16"/>
        </w:rPr>
        <w:t>분산투자도 쉬워졌다. 한 회사의 모든 채무를 질 위험이 없다면 투자자는 여러 회사의 소액지분을 살 수 있다. 개별 기업의 실패는 포트폴리오 안에서 흡수된다. 하지만 주주가 위험을 분산할 수 있는 만큼, 한 회사의 노동자와 지역사회는 위험을 분산하기 어렵다. 유한책임의 효율은 위험을 옮길 능력이 서로 다르다는 사실 위에 놓였다.</w:t>
      </w:r>
    </w:p>
    <w:p>
      <w:pPr>
        <w:pStyle w:val="aff3"/>
        <w:spacing w:line="259" w:lineRule="auto"/>
      </w:pPr>
      <w:r>
        <w:rPr>
          <w:rFonts w:ascii="KoPubWorld바탕체_Pro Light" w:hAnsi="KoPubWorld바탕체_Pro Light" w:eastAsia="KoPubWorld바탕체_Pro Light" w:cs="KoPubWorld바탕체_Pro Light"/>
          <w:sz w:val="16"/>
        </w:rPr>
        <w:t>그러나 이 제도는 자연스럽거나 중립적인 원칙이 아니었다. 법이 회사재산과 주주재산 사이에 방화벽을 세웠기 때문에 가능했다. 방화벽 한쪽에서 불이 나면 다른 쪽은 보호되지만, 불이 사라지는 것은 아니다. 무담보 채권자, 노동자와 불법행위 피해자는 회사에 남은 자산만으로 보상받아야 할 수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채권자는 스스로 보호할 수 있는가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유한책임 옹호자는 채권자가 계약할 때 위험을 알고 이자와 담보를 조정할 수 있다고 말한다. 은행과 큰 납품업체는 회사의 재무제표를 살피고 보증을 요구할 수 있다. 위험한 회사라면 더 높은 가격을 받거나 거래를 거절하면 된다. 이 관점에서 유한책임은 당사자가 가격으로 처리할 수 있는 기본규칙이다.</w:t>
      </w:r>
    </w:p>
    <w:p>
      <w:pPr>
        <w:pStyle w:val="aff3"/>
        <w:spacing w:line="259" w:lineRule="auto"/>
      </w:pPr>
      <w:r>
        <w:rPr>
          <w:rFonts w:ascii="KoPubWorld바탕체_Pro Light" w:hAnsi="KoPubWorld바탕체_Pro Light" w:eastAsia="KoPubWorld바탕체_Pro Light" w:cs="KoPubWorld바탕체_Pro Light"/>
          <w:sz w:val="16"/>
        </w:rPr>
        <w:t>그러나 모든 채권자가 선택한 것은 아니다. 공장에서 다친 주민, 임금을 받지 못한 노동자, 작은 선급금을 낸 소비자는 회사의 자본구조를 협상하지 못한다. 정보와 교섭력이 약한 거래상대도 위험을 정확히 가격에 넣기 어렵다. 유한책임이 자발적 채권자에게는 효율적이어도 비자발적 채권자에게는 손실의 강제이전이 될 수 있다.</w:t>
      </w:r>
    </w:p>
    <w:p>
      <w:pPr>
        <w:pStyle w:val="aff3"/>
        <w:spacing w:line="259" w:lineRule="auto"/>
      </w:pPr>
      <w:r>
        <w:rPr>
          <w:rFonts w:ascii="KoPubWorld바탕체_Pro Light" w:hAnsi="KoPubWorld바탕체_Pro Light" w:eastAsia="KoPubWorld바탕체_Pro Light" w:cs="KoPubWorld바탕체_Pro Light"/>
          <w:sz w:val="16"/>
        </w:rPr>
        <w:t>그래서 회사법만으로 문제가 끝나지 않는다. 최저자본, 보험, 담보, 이사의 의무, 사기적 거래에 대한 개인책임, 도산 전 자산유출의 취소, 우선변제 순서가 방화벽의 빈틈을 조정한다. 은행처럼 예금자의 돈을 크게 빌리는 업종에는 일반 회사보다 더 높은 자본과 감독을 요구하게 된 이유도 같다.</w:t>
      </w:r>
    </w:p>
    <w:p>
      <w:pPr>
        <w:pStyle w:val="aff3"/>
        <w:spacing w:line="259" w:lineRule="auto"/>
      </w:pPr>
      <w:r>
        <w:rPr>
          <w:rFonts w:ascii="KoPubWorld바탕체_Pro Light" w:hAnsi="KoPubWorld바탕체_Pro Light" w:eastAsia="KoPubWorld바탕체_Pro Light" w:cs="KoPubWorld바탕체_Pro Light"/>
          <w:sz w:val="16"/>
        </w:rPr>
        <w:t>기업집단은 방화벽을 여러 겹으로 만들 수 있다. 위험한 사업을 자본이 적은 자회사에 넣고 모회사가 책임지지 않는다면, 유한책임은 조직 내부의 위험격리 수단이 된다. 이는 건전한 사업을 한 실패에서 보호할 수 있지만 피해자의 회수재산을 줄일 수도 있다. 법인격을 존중할 때와 꿰뚫어 볼 때의 기준이 필요해졌다.</w:t>
      </w:r>
    </w:p>
    <w:p>
      <w:pPr>
        <w:pStyle w:val="aff3"/>
        <w:spacing w:line="259" w:lineRule="auto"/>
      </w:pPr>
      <w:r>
        <w:rPr>
          <w:rFonts w:ascii="KoPubWorld바탕체_Pro Light" w:hAnsi="KoPubWorld바탕체_Pro Light" w:eastAsia="KoPubWorld바탕체_Pro Light" w:cs="KoPubWorld바탕체_Pro Light"/>
          <w:sz w:val="16"/>
        </w:rPr>
        <w:t>주주의 책임을 제한하면 경영자의 위험선택을 누가 통제할지도 중요해진다. 주주는 손실이 출자액으로 제한되지만 상승이익은 가져가므로, 채권자보다 위험한 사업을 선호할 수 있다. 회사가 이미 어려워졌을 때는 ‘성공하면 주주, 실패하면 채권자’인 도박이 매력적이다. 오늘날 금융회사의 자본규제는 이 비대칭을 줄이려는 장치다.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감사는 누구를 위해 존재하는가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소유와 경영이 분리되면 주주도 회사 내부를 모른다. 이사가 작성한 장부를 이사가 설명하는 것만으로는 충분하지 않다. 독립된 사람이 자산과 부채, 이익의 계산을 확인해야 한다는 감사의 논리가 자랐다. 감사는 정부의 감독을 대신하는 사적 검증이면서 투자자와 채권자를 위한 정보장치였다.</w:t>
      </w:r>
    </w:p>
    <w:p>
      <w:pPr>
        <w:pStyle w:val="aff3"/>
        <w:spacing w:line="259" w:lineRule="auto"/>
      </w:pPr>
      <w:r>
        <w:rPr>
          <w:rFonts w:ascii="KoPubWorld바탕체_Pro Light" w:hAnsi="KoPubWorld바탕체_Pro Light" w:eastAsia="KoPubWorld바탕체_Pro Light" w:cs="KoPubWorld바탕체_Pro Light"/>
          <w:sz w:val="16"/>
        </w:rPr>
        <w:t>감사에도 한계가 있다. 감사인은 회사가 보수를 지급하는 고객이고, 표본과 경영진의 자료에 의존한다. 장부가 회계기준에 맞는다는 의견과 회사가 앞으로 지급능력을 유지한다는 보장은 다르다. 투자자가 감사보고서를 품질보증서처럼 읽으면 오히려 경계가 약해진다.</w:t>
      </w:r>
    </w:p>
    <w:p>
      <w:pPr>
        <w:pStyle w:val="aff3"/>
        <w:spacing w:line="259" w:lineRule="auto"/>
      </w:pPr>
      <w:r>
        <w:rPr>
          <w:rFonts w:ascii="KoPubWorld바탕체_Pro Light" w:hAnsi="KoPubWorld바탕체_Pro Light" w:eastAsia="KoPubWorld바탕체_Pro Light" w:cs="KoPubWorld바탕체_Pro Light"/>
          <w:sz w:val="16"/>
        </w:rPr>
        <w:t>공시와 감사는 유한책임의 정당화와 연결되었다. 주주가 개인재산을 보호받는 대신 회사는 자신의 재무상태를 더 투명하게 보여 주어야 한다는 교환이다. 하지만 두 장치의 강도가 언제나 균형을 이룬 것은 아니다. 책임의 제한은 명확하고 즉시 작동하는 반면, 정보의 질과 집행은 느리고 불완전할 수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기업가정신의 해방인가 위험의 외주화인가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유한책임이 산업화를 만들었다고 단정하기는 어렵다. 대규모 사업과 자본시장의 성장이 제도변화를 요구했고, 제도변화가 다시 투자를 늘린 상호작용에 가깝다. 무한책임 아래에서도 은행과 기업은 성장했고, 유한책임을 얻은 모든 회사가 생산적이었던 것도 아니다.</w:t>
      </w:r>
    </w:p>
    <w:p>
      <w:pPr>
        <w:pStyle w:val="aff3"/>
        <w:spacing w:line="259" w:lineRule="auto"/>
      </w:pPr>
      <w:r>
        <w:rPr>
          <w:rFonts w:ascii="KoPubWorld바탕체_Pro Light" w:hAnsi="KoPubWorld바탕체_Pro Light" w:eastAsia="KoPubWorld바탕체_Pro Light" w:cs="KoPubWorld바탕체_Pro Light"/>
          <w:sz w:val="16"/>
        </w:rPr>
        <w:t>그럼에도 유한책임은 금융의 규모를 바꾸었다. 서로 모르는 수천 명이 한 회사의 지분을 갖고, 손실의 상한을 알고 투자할 수 있게 했다. 주식의 유통성과 포트폴리오 분산은 커졌다. 사회는 더 많은 모험을 감당할 수 있게 되었고, 그 모험의 실패비용을 어떻게 나눌지 새 규칙을 필요로 했다.</w:t>
      </w:r>
    </w:p>
    <w:p>
      <w:pPr>
        <w:pStyle w:val="aff3"/>
        <w:spacing w:line="259" w:lineRule="auto"/>
      </w:pPr>
      <w:r>
        <w:rPr>
          <w:rFonts w:ascii="KoPubWorld바탕체_Pro Light" w:hAnsi="KoPubWorld바탕체_Pro Light" w:eastAsia="KoPubWorld바탕체_Pro Light" w:cs="KoPubWorld바탕체_Pro Light"/>
          <w:sz w:val="16"/>
        </w:rPr>
        <w:t>19세기 회사법이 남긴 교훈은 ‘공시는 자유를 가능하게 한다’는 말과 ‘공시만으로는 부족하다’는 말이 동시에 참이라는 것이다. 등록은 특허의 정치성을 줄였지만 사기를 없애지 않았다. 유한책임은 투자자의 두려움을 줄였지만 채권자의 위험을 키웠다. 감사는 장부를 보이게 했지만 미래를 보증하지 않았다.</w:t>
      </w:r>
    </w:p>
    <w:p>
      <w:pPr>
        <w:pStyle w:val="aff3"/>
        <w:spacing w:line="259" w:lineRule="auto"/>
      </w:pPr>
      <w:r>
        <w:rPr>
          <w:rFonts w:ascii="KoPubWorld바탕체_Pro Light" w:hAnsi="KoPubWorld바탕체_Pro Light" w:eastAsia="KoPubWorld바탕체_Pro Light" w:cs="KoPubWorld바탕체_Pro Light"/>
          <w:sz w:val="16"/>
        </w:rPr>
        <w:t>회사는 법이 만든 사람이다. 그 사람이 실패했을 때 실제 사람 가운데 누가 손실을 지는지는 법이 정한다. 유한책임은 기업가정신을 해방한 위대한 발명인 동시에 위험을 외부로 보낼 수 있는 관문이다. 금융규제는 이 관문을 닫을 수 없었다. 대신 자본, 공시, 감사와 청산이라는 여러 문지기를 세웠다. 다음 장의 1866년 공황은 법인 방화벽 너머에서 생긴 손실이 금융망 전체로 번질 때, 중앙은행이 누구를 살려야 하는지 묻게 한다.</w:t>
      </w:r>
    </w:p>
    <w:p>
      <w:pPr>
        <w:pStyle w:val="aff2"/>
        <w:pageBreakBefore/>
        <w:spacing w:before="440"/>
        <w:jc w:val="center"/>
      </w:pPr>
      <w:r>
        <w:rPr>
          <w:rFonts w:ascii="KoPubWorld바탕체_Pro Bold" w:hAnsi="KoPubWorld바탕체_Pro Bold" w:eastAsia="KoPubWorld바탕체_Pro Bold" w:cs="KoPubWorld바탕체_Pro Bold"/>
          <w:b/>
          <w:sz w:val="24"/>
        </w:rPr>
        <w:t>Chapter. 08</w:t>
      </w:r>
    </w:p>
    <w:p>
      <w:pPr>
        <w:pStyle w:val="aff1"/>
        <w:jc w:val="center"/>
      </w:pPr>
      <w:r>
        <w:rPr>
          <w:rFonts w:ascii="KoPubWorld바탕체_Pro Bold" w:hAnsi="KoPubWorld바탕체_Pro Bold" w:eastAsia="KoPubWorld바탕체_Pro Bold" w:cs="KoPubWorld바탕체_Pro Bold"/>
          <w:b/>
          <w:sz w:val="28"/>
        </w:rPr>
        <w:t>최종대부자는 누구를 살리는가 — 1866년과 배저트의 규칙</w:t>
      </w:r>
    </w:p>
    <w:p>
      <w:pPr>
        <w:spacing w:before="60" w:after="0"/>
      </w:pP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1866년 5월 10일 목요일, 런던의 대형 할인회사 오버렌드 거니가 지급을 멈췄다. 이 회사는 한때 ‘은행가의 은행’처럼 여겨졌다. 상업어음을 사고팔며 은행과 상인을 연결했고, 이름 자체가 유동성의 보증처럼 통했다. 문이 닫혔다는 소식이 퍼지자 다음 날 런던은 공황에 빠졌다. 타임스는 그 금요일을 ‘검은 금요일’이라 불렀다.</w:t>
      </w:r>
      <w:r>
        <w:rPr>
          <w:rFonts w:ascii="KoPubWorld바탕체_Pro Light" w:hAnsi="KoPubWorld바탕체_Pro Light" w:eastAsia="KoPubWorld바탕체_Pro Light" w:cs="KoPubWorld바탕체_Pro Light"/>
          <w:sz w:val="14"/>
          <w:vertAlign w:val="superscript"/>
        </w:rPr>
        <w:t>20</w:t>
      </w:r>
    </w:p>
    <w:p>
      <w:pPr>
        <w:pStyle w:val="aff3"/>
        <w:spacing w:line="259" w:lineRule="auto"/>
      </w:pPr>
      <w:r>
        <w:rPr>
          <w:rFonts w:ascii="KoPubWorld바탕체_Pro Light" w:hAnsi="KoPubWorld바탕체_Pro Light" w:eastAsia="KoPubWorld바탕체_Pro Light" w:cs="KoPubWorld바탕체_Pro Light"/>
          <w:sz w:val="16"/>
        </w:rPr>
        <w:t>영란은행은 오버렌드 거니 자체에 대한 지원을 거절했다. 그러나 살아남을 만한 은행과 어음중개인에게는 자신의 준비금을 줄여 가며 대출했다. 한 회사를 쓰러뜨리면서 시장을 살리려 한 것이다.</w:t>
      </w:r>
      <w:r>
        <w:rPr>
          <w:rFonts w:ascii="KoPubWorld바탕체_Pro Light" w:hAnsi="KoPubWorld바탕체_Pro Light" w:eastAsia="KoPubWorld바탕체_Pro Light" w:cs="KoPubWorld바탕체_Pro Light"/>
          <w:sz w:val="14"/>
          <w:vertAlign w:val="superscript"/>
        </w:rPr>
        <w:t>20</w:t>
      </w:r>
      <w:r>
        <w:rPr>
          <w:rFonts w:ascii="KoPubWorld바탕체_Pro Light" w:hAnsi="KoPubWorld바탕체_Pro Light" w:eastAsia="KoPubWorld바탕체_Pro Light" w:cs="KoPubWorld바탕체_Pro Light"/>
          <w:sz w:val="16"/>
        </w:rPr>
        <w:t xml:space="preserve"> 이 선택은 최종대부자의 가장 어려운 질문을 드러냈다. 공황을 막기 위해 빌려 주어야 한다면 누구에게, 어떤 담보로, 얼마의 가격에 빌려 줄 것인가.</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어음시장의 중심이 무너지다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19세기 중반 런던에서 상업어음은 기업의 단기자금을 조달하는 핵심 수단이었다. 은행은 고객의 예금을 어음에 투자했고, 어음중개인은 은행의 단기예금을 받아 더 많은 어음을 보유했다. 인수상사는 지급을 보증했고, 영란은행은 필요할 때 적격어음을 다시 할인했다. 자금은 효율적으로 돌았지만 만기와 신뢰의 사슬이 길어졌다.</w:t>
      </w:r>
      <w:r>
        <w:rPr>
          <w:rFonts w:ascii="KoPubWorld바탕체_Pro Light" w:hAnsi="KoPubWorld바탕체_Pro Light" w:eastAsia="KoPubWorld바탕체_Pro Light" w:cs="KoPubWorld바탕체_Pro Light"/>
          <w:sz w:val="14"/>
          <w:vertAlign w:val="superscript"/>
        </w:rPr>
        <w:t>20</w:t>
      </w:r>
    </w:p>
    <w:p>
      <w:pPr>
        <w:pStyle w:val="aff3"/>
        <w:spacing w:line="259" w:lineRule="auto"/>
      </w:pPr>
      <w:r>
        <w:rPr>
          <w:rFonts w:ascii="KoPubWorld바탕체_Pro Light" w:hAnsi="KoPubWorld바탕체_Pro Light" w:eastAsia="KoPubWorld바탕체_Pro Light" w:cs="KoPubWorld바탕체_Pro Light"/>
          <w:sz w:val="16"/>
        </w:rPr>
        <w:t>오버렌드 거니는 이 시장의 중심에서 성장했다. 문제는 전통적인 단기 상업어음 중개를 넘어 장기적이고 유동성이 낮은 사업에 자금을 댄 데 있었다. 단기에 돌려줘야 할 돈으로 쉽게 팔 수 없는 자산을 보유하면 평온기에는 수익이 높다. 인출이 몰리면 자산을 헐값에 팔아야 한다. 유동성위험이 손실을 확대한다.</w:t>
      </w:r>
    </w:p>
    <w:p>
      <w:pPr>
        <w:pStyle w:val="aff3"/>
        <w:spacing w:line="259" w:lineRule="auto"/>
      </w:pPr>
      <w:r>
        <w:rPr>
          <w:rFonts w:ascii="KoPubWorld바탕체_Pro Light" w:hAnsi="KoPubWorld바탕체_Pro Light" w:eastAsia="KoPubWorld바탕체_Pro Light" w:cs="KoPubWorld바탕체_Pro Light"/>
          <w:sz w:val="16"/>
        </w:rPr>
        <w:t>회사가 유한책임회사로 전환되기 전후의 정보와 책임 문제도 논쟁이 되었다. 외부 투자자는 오래된 명성과 공개된 설명을 믿었지만 자산의 질을 충분히 알기 어려웠다. 영란은행의 연구는 오버렌드 거니 붕괴가 중앙은행 대출뿐 아니라 유한책임과 공시의 적절성을 둘러싼 토론을 촉발했다고 평가한다.</w:t>
      </w:r>
      <w:r>
        <w:rPr>
          <w:rFonts w:ascii="KoPubWorld바탕체_Pro Light" w:hAnsi="KoPubWorld바탕체_Pro Light" w:eastAsia="KoPubWorld바탕체_Pro Light" w:cs="KoPubWorld바탕체_Pro Light"/>
          <w:sz w:val="14"/>
          <w:vertAlign w:val="superscript"/>
        </w:rPr>
        <w:t>20</w:t>
      </w:r>
    </w:p>
    <w:p>
      <w:pPr>
        <w:pStyle w:val="aff3"/>
        <w:spacing w:line="259" w:lineRule="auto"/>
      </w:pPr>
      <w:r>
        <w:rPr>
          <w:rFonts w:ascii="KoPubWorld바탕체_Pro Light" w:hAnsi="KoPubWorld바탕체_Pro Light" w:eastAsia="KoPubWorld바탕체_Pro Light" w:cs="KoPubWorld바탕체_Pro Light"/>
          <w:sz w:val="16"/>
        </w:rPr>
        <w:t>공황은 한 회사의 장부에서 끝나지 않았다. 예금자는 어느 은행이 오버렌드 거니와 연결되었는지 알지 못했다. 정보가 부족할 때 안전한 행동은 먼저 현금을 찾는 것이다. 각 예금자에게 합리적인 인출이 모두의 지급수단을 고갈시킨다. 최종대부자는 이 집단행동의 악순환을 끊기 위해 등장한다.</w:t>
      </w:r>
    </w:p>
    <w:p>
      <w:pPr>
        <w:pStyle w:val="aff3"/>
        <w:spacing w:line="259" w:lineRule="auto"/>
      </w:pPr>
      <w:r>
        <w:rPr>
          <w:rFonts w:ascii="KoPubWorld바탕체_Pro Light" w:hAnsi="KoPubWorld바탕체_Pro Light" w:eastAsia="KoPubWorld바탕체_Pro Light" w:cs="KoPubWorld바탕체_Pro Light"/>
          <w:sz w:val="16"/>
        </w:rPr>
        <w:t>공황의 핵심은 속도다. 자산은 만기까지 보유하면 상환될 수 있어도 예금은 오늘 빠져나간다. 누구도 마지막으로 줄에 서고 싶지 않으므로 소문은 자기실현적이 된다. 은행이 실제로 건전한지를 확인하는 데 걸리는 시간보다 인출이 빠르다. 중앙은행 대출은 자산가치를 높이는 마술이 아니라 판단할 시간을 사는 장치다.</w:t>
      </w:r>
    </w:p>
    <w:p>
      <w:pPr>
        <w:pStyle w:val="aff3"/>
        <w:spacing w:line="259" w:lineRule="auto"/>
      </w:pPr>
      <w:r>
        <w:rPr>
          <w:rFonts w:ascii="KoPubWorld바탕체_Pro Light" w:hAnsi="KoPubWorld바탕체_Pro Light" w:eastAsia="KoPubWorld바탕체_Pro Light" w:cs="KoPubWorld바탕체_Pro Light"/>
          <w:sz w:val="16"/>
        </w:rPr>
        <w:t>그 시간의 가치 때문에 유동성 지원은 매우 커 보여도 최종손실이 없을 수 있다. 반대로 담보가 부실하면 잠시의 평온 뒤 공공손실이 남는다. 대출액과 구제비용을 같은 것으로 보아서는 안 되지만, ‘대출이니 비용이 없다’고 단정해서도 안 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1844년의 규칙과 위기의 예외</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Bank Charter Act 1844는 영란은행의 발권부문과 은행부문을 구분하고, 일정한 금 보유를 넘어선 은행권 발행을 제한하는 틀을 만들었다. 또한 잉글랜드와 웨일스에서 기존 발권은행의 권리를 제한해 영란은행권 중심의 질서를 강화했다.</w:t>
      </w:r>
      <w:r>
        <w:rPr>
          <w:rFonts w:ascii="KoPubWorld바탕체_Pro Light" w:hAnsi="KoPubWorld바탕체_Pro Light" w:eastAsia="KoPubWorld바탕체_Pro Light" w:cs="KoPubWorld바탕체_Pro Light"/>
          <w:sz w:val="14"/>
          <w:vertAlign w:val="superscript"/>
        </w:rPr>
        <w:t>32</w:t>
      </w:r>
      <w:r>
        <w:rPr>
          <w:rFonts w:ascii="KoPubWorld바탕체_Pro Light" w:hAnsi="KoPubWorld바탕체_Pro Light" w:eastAsia="KoPubWorld바탕체_Pro Light" w:cs="KoPubWorld바탕체_Pro Light"/>
          <w:sz w:val="16"/>
        </w:rPr>
        <w:t xml:space="preserve"> 목표는 은행권의 과도한 발행을 막고 통화에 규율을 주는 것이었다.</w:t>
      </w:r>
    </w:p>
    <w:p>
      <w:pPr>
        <w:pStyle w:val="aff3"/>
        <w:spacing w:line="259" w:lineRule="auto"/>
      </w:pPr>
      <w:r>
        <w:rPr>
          <w:rFonts w:ascii="KoPubWorld바탕체_Pro Light" w:hAnsi="KoPubWorld바탕체_Pro Light" w:eastAsia="KoPubWorld바탕체_Pro Light" w:cs="KoPubWorld바탕체_Pro Light"/>
          <w:sz w:val="16"/>
        </w:rPr>
        <w:t>그러나 위기에는 사람들이 예금과 어음을 현금 또는 영란은행권으로 바꾸려 한다. 안전을 위해 만든 발권제한이 필요한 유동성 공급을 막을 수 있다. 1847년과 1857년, 1866년 위기에서 정부는 법정한도를 넘는 발행을 허용할 수 있다는 취지의 서한으로 영란은행을 안심시켰다. 법이 공식 폐지된 것은 아니지만, 위기 때 적용이 완화될 수 있다는 신호가 공황을 진정시키는 역할을 했다.</w:t>
      </w:r>
      <w:r>
        <w:rPr>
          <w:rFonts w:ascii="KoPubWorld바탕체_Pro Light" w:hAnsi="KoPubWorld바탕체_Pro Light" w:eastAsia="KoPubWorld바탕체_Pro Light" w:cs="KoPubWorld바탕체_Pro Light"/>
          <w:sz w:val="14"/>
          <w:vertAlign w:val="superscript"/>
        </w:rPr>
        <w:t>33</w:t>
      </w:r>
    </w:p>
    <w:p>
      <w:pPr>
        <w:pStyle w:val="aff3"/>
        <w:spacing w:line="259" w:lineRule="auto"/>
      </w:pPr>
      <w:r>
        <w:rPr>
          <w:rFonts w:ascii="KoPubWorld바탕체_Pro Light" w:hAnsi="KoPubWorld바탕체_Pro Light" w:eastAsia="KoPubWorld바탕체_Pro Light" w:cs="KoPubWorld바탕체_Pro Light"/>
          <w:sz w:val="16"/>
        </w:rPr>
        <w:t>이 경험은 규칙과 재량의 역설을 보여 준다. 평온기에는 엄격한 규칙이 남발 기대를 막는다. 그러나 모두가 규칙이 절대적이라고 믿으면 위기 때 현금부족이 심해진다. 예외를 너무 쉽게 허용하면 평온기의 규율이 무너진다. 좋은 체계는 예외가 있다는 사실과 예외가 공짜가 아니라는 사실을 함께 믿게 해야 한다.</w:t>
      </w:r>
    </w:p>
    <w:p>
      <w:pPr>
        <w:pStyle w:val="aff3"/>
        <w:spacing w:line="259" w:lineRule="auto"/>
      </w:pPr>
      <w:r>
        <w:rPr>
          <w:rFonts w:ascii="KoPubWorld바탕체_Pro Light" w:hAnsi="KoPubWorld바탕체_Pro Light" w:eastAsia="KoPubWorld바탕체_Pro Light" w:cs="KoPubWorld바탕체_Pro Light"/>
          <w:sz w:val="16"/>
        </w:rPr>
        <w:t>발권한도는 중앙은행의 대차대조표 한쪽만 규율한다. 위기 때 어떤 자산을 담보로 받고 누구에게 대출할지까지 정하지 않으면, 양적 한도가 질적 위험을 통제하지 못한다. 반대로 담보기준만 엄격하고 공급량이 부족하면 좋은 담보를 가진 기관도 무너진다. 통화량 규칙과 신용배분 규칙은 함께 설계되어야 한다.</w:t>
      </w:r>
    </w:p>
    <w:p>
      <w:pPr>
        <w:pStyle w:val="aff3"/>
        <w:spacing w:line="259" w:lineRule="auto"/>
      </w:pPr>
      <w:r>
        <w:rPr>
          <w:rFonts w:ascii="KoPubWorld바탕체_Pro Light" w:hAnsi="KoPubWorld바탕체_Pro Light" w:eastAsia="KoPubWorld바탕체_Pro Light" w:cs="KoPubWorld바탕체_Pro Light"/>
          <w:sz w:val="16"/>
        </w:rPr>
        <w:t>법률의 ‘중단’이라는 표현도 주의해야 한다. 실제로는 영란은행이 한도를 넘으면 정부가 추후 입법으로 책임을 보호하겠다는 승인에 가까웠고, 모든 위기에서 실제 초과발행이 필요했던 것도 아니다. 중요한 것은 법적 여유에 대한 신뢰였다. 유동성위기에서는 사용된 돈뿐 아니라 사용할 수 있다는 약속이 시장을 움직인다.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오버렌드 거니를 살리지 않은 이유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최종대부자가 모든 큰 회사를 살리면 시장은 실패의 비용을 국가에 넘긴다. 경영자는 높은 수익을 위해 위험을 늘리고, 채권자는 당국의 구제를 기대해 감시를 줄인다. 오버렌드 거니의 자산이 단순히 일시적으로 현금화하기 어려운 것인지, 손실 때문에 부채보다 부족한 것인지가 핵심이었다. 영란은행은 회사를 구제하지 않는 쪽을 택했다.</w:t>
      </w:r>
      <w:r>
        <w:rPr>
          <w:rFonts w:ascii="KoPubWorld바탕체_Pro Light" w:hAnsi="KoPubWorld바탕체_Pro Light" w:eastAsia="KoPubWorld바탕체_Pro Light" w:cs="KoPubWorld바탕체_Pro Light"/>
          <w:sz w:val="14"/>
          <w:vertAlign w:val="superscript"/>
        </w:rPr>
        <w:t>20</w:t>
      </w:r>
    </w:p>
    <w:p>
      <w:pPr>
        <w:pStyle w:val="aff3"/>
        <w:spacing w:line="259" w:lineRule="auto"/>
      </w:pPr>
      <w:r>
        <w:rPr>
          <w:rFonts w:ascii="KoPubWorld바탕체_Pro Light" w:hAnsi="KoPubWorld바탕체_Pro Light" w:eastAsia="KoPubWorld바탕체_Pro Light" w:cs="KoPubWorld바탕체_Pro Light"/>
          <w:sz w:val="16"/>
        </w:rPr>
        <w:t>그 결정은 무자비함과 원칙 사이에 있었다. 회사를 살리면 주주와 경영진에게 잘못된 보험을 주지만, 쓰러뜨리면 아무 책임 없는 거래상대와 예금자에게 충격이 번진다. ‘개별기관의 정의’와 ‘시스템의 안정’이 충돌한다. 중앙은행은 잘못한 회사를 벌하는 법원이 아니지만, 손실을 숨기는 기관에 계속 대출하는 것도 공공의 역할이 아니다.</w:t>
      </w:r>
    </w:p>
    <w:p>
      <w:pPr>
        <w:pStyle w:val="aff3"/>
        <w:spacing w:line="259" w:lineRule="auto"/>
      </w:pPr>
      <w:r>
        <w:rPr>
          <w:rFonts w:ascii="KoPubWorld바탕체_Pro Light" w:hAnsi="KoPubWorld바탕체_Pro Light" w:eastAsia="KoPubWorld바탕체_Pro Light" w:cs="KoPubWorld바탕체_Pro Light"/>
          <w:sz w:val="16"/>
        </w:rPr>
        <w:t>그래서 지원 대상을 구분해야 한다. 지급능력은 있지만 시장공황 때문에 현금이 부족한 기관에는 대출하고, 자산가치가 부채보다 작은 기관은 정리한다는 원칙이다. 말은 간단하지만 위기 한가운데서 자산가치를 정확히 평가하기 어렵다. 공황 때문에 가격이 일시적으로 낮은지, 원래 부실했는지 알 수 없다. 정보가 가장 부족한 순간에 가장 큰 결정을 내려야 한다.</w:t>
      </w:r>
    </w:p>
    <w:p>
      <w:pPr>
        <w:pStyle w:val="aff3"/>
        <w:spacing w:line="259" w:lineRule="auto"/>
      </w:pPr>
      <w:r>
        <w:rPr>
          <w:rFonts w:ascii="KoPubWorld바탕체_Pro Light" w:hAnsi="KoPubWorld바탕체_Pro Light" w:eastAsia="KoPubWorld바탕체_Pro Light" w:cs="KoPubWorld바탕체_Pro Light"/>
          <w:sz w:val="16"/>
        </w:rPr>
        <w:t>경영진이 제공하는 정보에도 이해상충이 있다. 지원을 받으려는 은행은 손실을 일시적이라고 주장하고 담보가치를 높게 평가하려 한다. 중앙은행이 평소 감독자료와 거래정보를 갖고 있으면 판단이 나아지지만, 시장의 모든 기관을 감독하지 않는 체계에서는 사각지대가 남는다. 최종대부 기능과 은행감독의 관계가 가까워진 이유다.</w:t>
      </w:r>
    </w:p>
    <w:p>
      <w:pPr>
        <w:pStyle w:val="aff3"/>
        <w:spacing w:line="259" w:lineRule="auto"/>
      </w:pPr>
      <w:r>
        <w:rPr>
          <w:rFonts w:ascii="KoPubWorld바탕체_Pro Light" w:hAnsi="KoPubWorld바탕체_Pro Light" w:eastAsia="KoPubWorld바탕체_Pro Light" w:cs="KoPubWorld바탕체_Pro Light"/>
          <w:sz w:val="16"/>
        </w:rPr>
        <w:t>정리제도가 약하면 중앙은행의 선택은 더 나빠진다. 지원하지 않을 때 회사를 질서 있게 닫을 방법이 없다면, 전염을 피하기 위해 부실기관에도 대출하게 된다. 최종대부자의 규율은 파산·정리 절차가 뒷받침할 때만 작동한다. 대출정책과 실패처리법은 한 세트다.</w:t>
      </w:r>
    </w:p>
    <w:p>
      <w:pPr>
        <w:pStyle w:val="aff3"/>
        <w:spacing w:line="259" w:lineRule="auto"/>
      </w:pPr>
      <w:r>
        <w:rPr>
          <w:rFonts w:ascii="KoPubWorld바탕체_Pro Light" w:hAnsi="KoPubWorld바탕체_Pro Light" w:eastAsia="KoPubWorld바탕체_Pro Light" w:cs="KoPubWorld바탕체_Pro Light"/>
          <w:sz w:val="16"/>
        </w:rPr>
        <w:t>오버렌드 거니를 거절하면서 다른 기관에 넓게 대출한 행동은 ‘회사 구제’와 ‘시장 구제’를 나누려는 시도였다. 중앙은행은 특정 주주의 손실을 막지 않되, 좋은 담보를 가진 거래상대가 현금부족 때문에 연쇄도산하는 것은 막는다. 현대의 시장전체 유동성기구와 개별은행 긴급대출을 구별하는 사고가 이 경험에서 자랐다.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배저트의 세 문장과 그 뒤의 조건</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월터 배저트는 1873년 Lombard Street에서 영란은행의 특별한 지위와 위기책임을 대중적으로 설명했다. 후대는 그의 조언을 ‘공황에는 충분히 빌려 주되, 좋은 담보를 받고 높은 금리를 부과하라’는 규칙으로 압축한다.</w:t>
      </w:r>
      <w:r>
        <w:rPr>
          <w:rFonts w:ascii="KoPubWorld바탕체_Pro Light" w:hAnsi="KoPubWorld바탕체_Pro Light" w:eastAsia="KoPubWorld바탕체_Pro Light" w:cs="KoPubWorld바탕체_Pro Light"/>
          <w:sz w:val="14"/>
          <w:vertAlign w:val="superscript"/>
        </w:rPr>
        <w:t>34</w:t>
      </w:r>
      <w:r>
        <w:rPr>
          <w:rFonts w:ascii="KoPubWorld바탕체_Pro Light" w:hAnsi="KoPubWorld바탕체_Pro Light" w:eastAsia="KoPubWorld바탕체_Pro Light" w:cs="KoPubWorld바탕체_Pro Light"/>
          <w:sz w:val="16"/>
        </w:rPr>
        <w:t xml:space="preserve"> 충분한 양은 현금부족의 공포를 꺾고, 담보는 지급불능 회사를 걸러 내며, 높은 금리는 평온기에 중앙은행 자금에 기대는 일을 막는다는 논리다.</w:t>
      </w:r>
    </w:p>
    <w:p>
      <w:pPr>
        <w:pStyle w:val="aff3"/>
        <w:spacing w:line="259" w:lineRule="auto"/>
      </w:pPr>
      <w:r>
        <w:rPr>
          <w:rFonts w:ascii="KoPubWorld바탕체_Pro Light" w:hAnsi="KoPubWorld바탕체_Pro Light" w:eastAsia="KoPubWorld바탕체_Pro Light" w:cs="KoPubWorld바탕체_Pro Light"/>
          <w:sz w:val="16"/>
        </w:rPr>
        <w:t>하지만 이 세 문장은 자동공식이 아니다. 무엇이 좋은 담보인지 위기 전 가격으로 볼 것인가 현재 가격으로 볼 것인가. 높은 금리가 취약한 기관을 더 빨리 무너뜨리지는 않는가. 중앙은행이 거래하지 않던 기관과 비은행에도 창구를 열 것인가. 담보가 부족하지만 시스템적으로 중요한 결제기관은 어떻게 할 것인가. 각 단어가 정치적 선택을 품는다.</w:t>
      </w:r>
    </w:p>
    <w:p>
      <w:pPr>
        <w:pStyle w:val="aff3"/>
        <w:spacing w:line="259" w:lineRule="auto"/>
      </w:pPr>
      <w:r>
        <w:rPr>
          <w:rFonts w:ascii="KoPubWorld바탕체_Pro Light" w:hAnsi="KoPubWorld바탕체_Pro Light" w:eastAsia="KoPubWorld바탕체_Pro Light" w:cs="KoPubWorld바탕체_Pro Light"/>
          <w:sz w:val="16"/>
        </w:rPr>
        <w:t>‘충분히’라는 말도 시장마다 다르다. 금본위 아래에서는 금 유출과 국내 유동성 공급이 충돌할 수 있었고, 현대 법정통화 체계에서는 중앙은행이 자국통화를 기술적으로 더 많이 공급할 수 있다. 그러나 환율과 물가, 중앙은행 신뢰라는 제약은 남는다. 발권능력이 무한하다고 정책비용까지 무한히 감당할 수 있는 것은 아니다.</w:t>
      </w:r>
    </w:p>
    <w:p>
      <w:pPr>
        <w:pStyle w:val="aff3"/>
        <w:spacing w:line="259" w:lineRule="auto"/>
      </w:pPr>
      <w:r>
        <w:rPr>
          <w:rFonts w:ascii="KoPubWorld바탕체_Pro Light" w:hAnsi="KoPubWorld바탕체_Pro Light" w:eastAsia="KoPubWorld바탕체_Pro Light" w:cs="KoPubWorld바탕체_Pro Light"/>
          <w:sz w:val="16"/>
        </w:rPr>
        <w:t>영란은행의 실제 19세기 대출도 후대의 깔끔한 ‘배저트 규칙’과 완전히 같지 않았다. 일별 거래자료를 분석한 영란은행 연구는 위기대출이 관계, 담보, 시장구조 속에서 이루어졌고 최종대부자 역할이 점진적으로 형성되었음을 보여 준다.</w:t>
      </w:r>
      <w:r>
        <w:rPr>
          <w:rFonts w:ascii="KoPubWorld바탕체_Pro Light" w:hAnsi="KoPubWorld바탕체_Pro Light" w:eastAsia="KoPubWorld바탕체_Pro Light" w:cs="KoPubWorld바탕체_Pro Light"/>
          <w:sz w:val="14"/>
          <w:vertAlign w:val="superscript"/>
        </w:rPr>
        <w:t>18</w:t>
      </w:r>
      <w:r>
        <w:rPr>
          <w:rFonts w:ascii="KoPubWorld바탕체_Pro Light" w:hAnsi="KoPubWorld바탕체_Pro Light" w:eastAsia="KoPubWorld바탕체_Pro Light" w:cs="KoPubWorld바탕체_Pro Light"/>
          <w:sz w:val="16"/>
        </w:rPr>
        <w:t xml:space="preserve"> 원칙은 경험을 정리한 지도이지 당시 모든 결정을 설명하는 법조문이 아니다.</w:t>
      </w:r>
    </w:p>
    <w:p>
      <w:pPr>
        <w:pStyle w:val="aff3"/>
        <w:spacing w:line="259" w:lineRule="auto"/>
      </w:pPr>
      <w:r>
        <w:rPr>
          <w:rFonts w:ascii="KoPubWorld바탕체_Pro Light" w:hAnsi="KoPubWorld바탕체_Pro Light" w:eastAsia="KoPubWorld바탕체_Pro Light" w:cs="KoPubWorld바탕체_Pro Light"/>
          <w:sz w:val="16"/>
        </w:rPr>
        <w:t>높은 금리의 의미도 시대에 따라 달라진다. 공황 때 시장금리가 이미 폭등했다면 중앙은행 금리가 ‘벌칙적’이면서도 시장보다 낮을 수 있다. 너무 높은 가격은 유동성 지원을 사실상 이용하지 못하게 만들고, 너무 낮은 가격은 위험한 기관에 보조금을 준다. 금리는 규율과 안정 사이의 밸브다.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비밀대출인가 공개된 약속인가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긴급대출을 공개하면 중앙은행이 준비되어 있다는 신호가 된다. 하지만 특정 은행이 창구를 사용했다는 사실이 알려지면 시장은 그 은행이 위험하다고 보고 더 많은 자금을 빼낼 수 있다. 지원을 받는 것 자체가 낙인이 된다. 비밀은 효과를 높일 수 있지만 특혜와 손실은폐를 감춘다.</w:t>
      </w:r>
    </w:p>
    <w:p>
      <w:pPr>
        <w:pStyle w:val="aff3"/>
        <w:spacing w:line="259" w:lineRule="auto"/>
      </w:pPr>
      <w:r>
        <w:rPr>
          <w:rFonts w:ascii="KoPubWorld바탕체_Pro Light" w:hAnsi="KoPubWorld바탕체_Pro Light" w:eastAsia="KoPubWorld바탕체_Pro Light" w:cs="KoPubWorld바탕체_Pro Light"/>
          <w:sz w:val="16"/>
        </w:rPr>
        <w:t>사전의 명확성도 양날의 칼이다. 어떤 기관과 자산을 반드시 구제한다고 약속하면 공황을 예방할 수 있다. 동시에 경영자와 채권자는 그 경계 바로 안쪽에서 위험을 늘린다. 아무것도 약속하지 않는 ‘건설적 모호성’은 규율을 유지하지만 위기 때 불필요한 공포를 키울 수 있다. 최종대부자 제도는 알려진 규칙과 남겨 둔 재량을 함께 가진다.</w:t>
      </w:r>
    </w:p>
    <w:p>
      <w:pPr>
        <w:pStyle w:val="aff3"/>
        <w:spacing w:line="259" w:lineRule="auto"/>
      </w:pPr>
      <w:r>
        <w:rPr>
          <w:rFonts w:ascii="KoPubWorld바탕체_Pro Light" w:hAnsi="KoPubWorld바탕체_Pro Light" w:eastAsia="KoPubWorld바탕체_Pro Light" w:cs="KoPubWorld바탕체_Pro Light"/>
          <w:sz w:val="16"/>
        </w:rPr>
        <w:t>지원경계 밖의 금융이 커지는 문제도 있다. 중앙은행이 은행만 돕는다면 같은 만기변환을 하는 어음중개인이나 펀드는 더 적은 규제를 받으면서도 위기 때 도움을 기대할 수 있다. 도움을 넓히면 감독도 넓혀야 하고, 감독 없이 도움만 주면 규제차익이 커진다. 최종대부자의 경계는 금융규제의 경계를 끌고 다닌다.</w:t>
      </w:r>
    </w:p>
    <w:p>
      <w:pPr>
        <w:pStyle w:val="aff3"/>
        <w:spacing w:line="259" w:lineRule="auto"/>
      </w:pPr>
      <w:r>
        <w:rPr>
          <w:rFonts w:ascii="KoPubWorld바탕체_Pro Light" w:hAnsi="KoPubWorld바탕체_Pro Light" w:eastAsia="KoPubWorld바탕체_Pro Light" w:cs="KoPubWorld바탕체_Pro Light"/>
          <w:sz w:val="16"/>
        </w:rPr>
        <w:t>민주적 책임은 훗날 더 중요해졌다. 중앙은행 대출은 담보가 회수되면 재정지출이 아닐 수 있지만, 나쁜 담보를 받아 손실이 나면 공공의 부담으로 돌아간다. 누구를 지원했는지, 어떤 평가를 했는지, 손실은 누가 부담하는지 사후에 설명해야 한다. 위기의 속도가 의회의 심의보다 빠르더라도, 위기 뒤의 감사까지 생략할 수는 없다.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살리지 않음으로써 살리는 기술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1866년의 영란은행은 오버렌드 거니를 살리지 않았다. 그 선택은 모든 대형기관이 안전하다는 믿음을 깨뜨렸지만, 다른 건전한 기관에는 유동성을 공급해 시장 전체의 붕괴를 막으려 했다.</w:t>
      </w:r>
      <w:r>
        <w:rPr>
          <w:rFonts w:ascii="KoPubWorld바탕체_Pro Light" w:hAnsi="KoPubWorld바탕체_Pro Light" w:eastAsia="KoPubWorld바탕체_Pro Light" w:cs="KoPubWorld바탕체_Pro Light"/>
          <w:sz w:val="14"/>
          <w:vertAlign w:val="superscript"/>
        </w:rPr>
        <w:t>20</w:t>
      </w:r>
      <w:r>
        <w:rPr>
          <w:rFonts w:ascii="KoPubWorld바탕체_Pro Light" w:hAnsi="KoPubWorld바탕체_Pro Light" w:eastAsia="KoPubWorld바탕체_Pro Light" w:cs="KoPubWorld바탕체_Pro Light"/>
          <w:sz w:val="16"/>
        </w:rPr>
        <w:t xml:space="preserve"> 실패를 허용하면서 전염을 제한하는 일, 이것이 최종대부자의 이상이다.</w:t>
      </w:r>
    </w:p>
    <w:p>
      <w:pPr>
        <w:pStyle w:val="aff3"/>
        <w:spacing w:line="259" w:lineRule="auto"/>
      </w:pPr>
      <w:r>
        <w:rPr>
          <w:rFonts w:ascii="KoPubWorld바탕체_Pro Light" w:hAnsi="KoPubWorld바탕체_Pro Light" w:eastAsia="KoPubWorld바탕체_Pro Light" w:cs="KoPubWorld바탕체_Pro Light"/>
          <w:sz w:val="16"/>
        </w:rPr>
        <w:t>현실에서는 둘을 분리하기 어렵다. 한 회사의 지급정지가 결제망을 멈추고 담보가격을 무너뜨리면, 주주를 구하지 않는 시장지원도 간접적으로 채권자를 돕는다. 반대로 도덕적 해이를 두려워해 지원을 늦추면 건전한 기관까지 파산한다. 중앙은행은 완전한 정보 없이 되돌리기 어려운 선택을 한다.</w:t>
      </w:r>
    </w:p>
    <w:p>
      <w:pPr>
        <w:pStyle w:val="aff3"/>
        <w:spacing w:line="259" w:lineRule="auto"/>
      </w:pPr>
      <w:r>
        <w:rPr>
          <w:rFonts w:ascii="KoPubWorld바탕체_Pro Light" w:hAnsi="KoPubWorld바탕체_Pro Light" w:eastAsia="KoPubWorld바탕체_Pro Light" w:cs="KoPubWorld바탕체_Pro Light"/>
          <w:sz w:val="16"/>
        </w:rPr>
        <w:t>배저트의 규칙이 오래 살아남은 이유는 정답이라서가 아니라 긴장을 잘 보존했기 때문이다. 많이 빌려 주되 공짜로 주지 않는다. 좋은 담보를 보되 공황가격에만 매이지 않는다. 시장을 살리되 모든 회사를 살리지 않는다. 이 세 균형은 시대마다 다시 정의되어야 한다.</w:t>
      </w:r>
    </w:p>
    <w:p>
      <w:pPr>
        <w:pStyle w:val="aff3"/>
        <w:spacing w:line="259" w:lineRule="auto"/>
      </w:pPr>
      <w:r>
        <w:rPr>
          <w:rFonts w:ascii="KoPubWorld바탕체_Pro Light" w:hAnsi="KoPubWorld바탕체_Pro Light" w:eastAsia="KoPubWorld바탕체_Pro Light" w:cs="KoPubWorld바탕체_Pro Light"/>
          <w:sz w:val="16"/>
        </w:rPr>
        <w:t>최종대부자는 위기를 없애는 기관이 아니다. 민간의 만기변환이 만든 약속을 공공의 대차대조표로 잠시 옮겨, 시장이 자산을 헐값에 던지는 시간을 늦춘다. 그 시간 안에 지급능력 있는 곳은 살아나고 부실한 곳은 정리되어야 한다. 대출이 손실인식을 미루는 도구가 되는 순간 구제는 안정이 아니라 은폐가 된다. 1866년의 검은 금요일은 중앙은행의 힘보다 그 힘에 경계를 긋는 일이 더 어렵다는 사실을 남겼다.</w:t>
      </w:r>
      <w:r>
        <w:rPr>
          <w:rFonts w:ascii="KoPubWorld바탕체_Pro Light" w:hAnsi="KoPubWorld바탕체_Pro Light" w:eastAsia="KoPubWorld바탕체_Pro Light" w:cs="KoPubWorld바탕체_Pro Light"/>
          <w:sz w:val="14"/>
          <w:vertAlign w:val="superscript"/>
        </w:rPr>
        <w:t>20</w:t>
      </w:r>
    </w:p>
    <w:p>
      <w:pPr>
        <w:pStyle w:val="aff2"/>
        <w:pageBreakBefore/>
        <w:spacing w:before="440"/>
        <w:jc w:val="center"/>
      </w:pPr>
      <w:r>
        <w:rPr>
          <w:rFonts w:ascii="KoPubWorld바탕체_Pro Bold" w:hAnsi="KoPubWorld바탕체_Pro Bold" w:eastAsia="KoPubWorld바탕체_Pro Bold" w:cs="KoPubWorld바탕체_Pro Bold"/>
          <w:b/>
          <w:sz w:val="24"/>
        </w:rPr>
        <w:t>Chapter. 09</w:t>
      </w:r>
    </w:p>
    <w:p>
      <w:pPr>
        <w:pStyle w:val="aff1"/>
        <w:jc w:val="center"/>
      </w:pPr>
      <w:r>
        <w:rPr>
          <w:rFonts w:ascii="KoPubWorld바탕체_Pro Bold" w:hAnsi="KoPubWorld바탕체_Pro Bold" w:eastAsia="KoPubWorld바탕체_Pro Bold" w:cs="KoPubWorld바탕체_Pro Bold"/>
          <w:b/>
          <w:sz w:val="28"/>
        </w:rPr>
        <w:t>은행 자유와 중앙은행 — 미국 국민은행제도의 실험</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남북전쟁 전 미국을 여행하는 상인의 지갑에는 여러 은행의 지폐가 섞여 있었다. 뉴욕 은행권은 오하이오의 여관에서 액면 그대로 받아들여지지 않을 수 있었다. 멀리 있는 발행은행이 실제로 존재하는지, 약속한 금화로 바꿔 줄 능력이 있는지 확인하기 어렵기 때문이다. 상인은 지폐의 그림과 서명을 살피고, 할인율을 적은 안내책자를 펼쳤다. 같은 1달러도 발행지와 평판에 따라 액면보다 할인되어 거래되었다.</w:t>
      </w:r>
    </w:p>
    <w:p>
      <w:pPr>
        <w:pStyle w:val="aff3"/>
        <w:spacing w:line="259" w:lineRule="auto"/>
      </w:pPr>
      <w:r>
        <w:rPr>
          <w:rFonts w:ascii="KoPubWorld바탕체_Pro Light" w:hAnsi="KoPubWorld바탕체_Pro Light" w:eastAsia="KoPubWorld바탕체_Pro Light" w:cs="KoPubWorld바탕체_Pro Light"/>
          <w:sz w:val="16"/>
        </w:rPr>
        <w:t>이 모습은 ‘은행의 자유’가 곧 ‘통일된 돈의 자유’가 아니었음을 보여 준다. 미국은 중앙은행에 대한 불신 때문에 분산된 은행체계를 선호했지만, 분산은 지역의 자율성과 함께 화폐의 불균일성과 위기대응의 공백을 낳았다. 1863년과 1864년의 국민은행법은 이 문제를 연방의 규제와 국채로 묶으려 했다.</w:t>
      </w:r>
      <w:r>
        <w:rPr>
          <w:rFonts w:ascii="KoPubWorld바탕체_Pro Light" w:hAnsi="KoPubWorld바탕체_Pro Light" w:eastAsia="KoPubWorld바탕체_Pro Light" w:cs="KoPubWorld바탕체_Pro Light"/>
          <w:sz w:val="14"/>
          <w:vertAlign w:val="superscript"/>
        </w:rPr>
        <w:t>35</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중앙은행을 두려워한 공화국</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미국 헌법은 연방의회에 화폐를 주조하고 가치를 정할 권한을 주었지만, 은행을 둘러싼 정치적 합의까지 주지는 않았다.</w:t>
      </w:r>
      <w:r>
        <w:rPr>
          <w:rFonts w:ascii="KoPubWorld바탕체_Pro Light" w:hAnsi="KoPubWorld바탕체_Pro Light" w:eastAsia="KoPubWorld바탕체_Pro Light" w:cs="KoPubWorld바탕체_Pro Light"/>
          <w:sz w:val="14"/>
          <w:vertAlign w:val="superscript"/>
        </w:rPr>
        <w:t>16</w:t>
      </w:r>
      <w:r>
        <w:rPr>
          <w:rFonts w:ascii="KoPubWorld바탕체_Pro Light" w:hAnsi="KoPubWorld바탕체_Pro Light" w:eastAsia="KoPubWorld바탕체_Pro Light" w:cs="KoPubWorld바탕체_Pro Light"/>
          <w:sz w:val="16"/>
        </w:rPr>
        <w:t xml:space="preserve"> 제1합중국은행과 제2합중국은행은 연방정부의 재정과 지역은행을 연결했으나, 집중된 금융권력이 공화국과 농민을 위협한다는 비판을 받았다. 제2은행의 특허가 1836년 끝난 뒤 미국에는 전국적 중앙은행이 사라졌다.</w:t>
      </w:r>
      <w:r>
        <w:rPr>
          <w:rFonts w:ascii="KoPubWorld바탕체_Pro Light" w:hAnsi="KoPubWorld바탕체_Pro Light" w:eastAsia="KoPubWorld바탕체_Pro Light" w:cs="KoPubWorld바탕체_Pro Light"/>
          <w:sz w:val="14"/>
          <w:vertAlign w:val="superscript"/>
        </w:rPr>
        <w:t>36</w:t>
      </w:r>
    </w:p>
    <w:p>
      <w:pPr>
        <w:pStyle w:val="aff3"/>
        <w:spacing w:line="259" w:lineRule="auto"/>
      </w:pPr>
      <w:r>
        <w:rPr>
          <w:rFonts w:ascii="KoPubWorld바탕체_Pro Light" w:hAnsi="KoPubWorld바탕체_Pro Light" w:eastAsia="KoPubWorld바탕체_Pro Light" w:cs="KoPubWorld바탕체_Pro Light"/>
          <w:sz w:val="16"/>
        </w:rPr>
        <w:t>반대자에게 중앙은행은 동부 금융엘리트와 연방권력의 도구였다. 어느 지역에 신용을 주고 어느 은행의 지폐를 받아 줄지 결정하는 기관은 선거로 통제하기 어렵다고 보았다. 지지자에게 중앙은행은 정부자금을 안전하게 보관하고 난립한 은행권을 규율하는 기준점이었다. 논쟁은 기술보다 권력의 지리와 계층을 둘러싼 것이었다.</w:t>
      </w:r>
    </w:p>
    <w:p>
      <w:pPr>
        <w:pStyle w:val="aff3"/>
        <w:spacing w:line="259" w:lineRule="auto"/>
      </w:pPr>
      <w:r>
        <w:rPr>
          <w:rFonts w:ascii="KoPubWorld바탕체_Pro Light" w:hAnsi="KoPubWorld바탕체_Pro Light" w:eastAsia="KoPubWorld바탕체_Pro Light" w:cs="KoPubWorld바탕체_Pro Light"/>
          <w:sz w:val="16"/>
        </w:rPr>
        <w:t>중앙은행이 없다고 국가가 금융에서 사라진 것은 아니다. 주 정부는 은행특허와 자본, 준비금, 지폐상환을 규율했고 법원은 계약을 집행했다. 연방정부는 세금과 토지매각, 국채와 법정통화로 통화수요를 만들었다. ‘자유은행’은 무법의 은행이 아니라 개별 특허 대신 일반법의 요건으로 진입할 수 있는 은행이었다.</w:t>
      </w:r>
    </w:p>
    <w:p>
      <w:pPr>
        <w:pStyle w:val="aff3"/>
        <w:spacing w:line="259" w:lineRule="auto"/>
      </w:pPr>
      <w:r>
        <w:rPr>
          <w:rFonts w:ascii="KoPubWorld바탕체_Pro Light" w:hAnsi="KoPubWorld바탕체_Pro Light" w:eastAsia="KoPubWorld바탕체_Pro Light" w:cs="KoPubWorld바탕체_Pro Light"/>
          <w:sz w:val="16"/>
        </w:rPr>
        <w:t>따라서 미국 경험을 중앙집권과 완전한 자유의 대결로 그리면 중요한 중간지대가 사라진다. 질문은 누가 허가하고, 무엇을 담보로 지폐를 발행하며, 실패한 은행의 소지자를 누가 보호하는가였다. 규제의 층이 연방과 주 사이에 나뉘어 있었을 뿐이다.</w:t>
      </w:r>
    </w:p>
    <w:p>
      <w:pPr>
        <w:pStyle w:val="aff3"/>
        <w:spacing w:line="259" w:lineRule="auto"/>
      </w:pPr>
      <w:r>
        <w:rPr>
          <w:rFonts w:ascii="KoPubWorld바탕체_Pro Light" w:hAnsi="KoPubWorld바탕체_Pro Light" w:eastAsia="KoPubWorld바탕체_Pro Light" w:cs="KoPubWorld바탕체_Pro Light"/>
          <w:sz w:val="16"/>
        </w:rPr>
        <w:t>분산된 권력에는 실험의 이익도 있었다. 한 주가 새로운 은행법과 담보규칙을 시도하면 다른 주는 결과를 보고 따라가거나 피할 수 있다. 반면 은행과 돈은 주 경계를 넘기 때문에 한 주의 실패비용이 그 주에만 머물지 않는다. 실험의 자유와 공통시장의 외부효과가 충돌했다.</w:t>
      </w:r>
    </w:p>
    <w:p>
      <w:pPr>
        <w:pStyle w:val="aff3"/>
        <w:spacing w:line="259" w:lineRule="auto"/>
      </w:pPr>
      <w:r>
        <w:rPr>
          <w:rFonts w:ascii="KoPubWorld바탕체_Pro Light" w:hAnsi="KoPubWorld바탕체_Pro Light" w:eastAsia="KoPubWorld바탕체_Pro Light" w:cs="KoPubWorld바탕체_Pro Light"/>
          <w:sz w:val="16"/>
        </w:rPr>
        <w:t>예금자보호의 관점에서도 관할은 중요했다. 발행은행이 먼 주에 있고 소송과 상환비용이 액면보다 크면 법적 권리는 사실상 쓸 수 없다. 전국에서 쓰이는 약속에는 전국에서 접근 가능한 집행과 정보가 필요하다는 주장이 힘을 얻었다.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자유은행 시대의 약속과 오해</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1830년대 이후 여러 주는 일정한 요건을 갖추면 특별한 입법 없이 은행을 설립할 수 있는 자유은행법을 도입했다. 발행할 지폐에 대비해 주가 인정한 채권을 맡기고, 자본과 상환의무를 지는 방식이 흔했다. 진입의 정치적 특혜를 줄이고 담보로 지폐의 가치를 지키려는 설계였다.</w:t>
      </w:r>
      <w:r>
        <w:rPr>
          <w:rFonts w:ascii="KoPubWorld바탕체_Pro Light" w:hAnsi="KoPubWorld바탕체_Pro Light" w:eastAsia="KoPubWorld바탕체_Pro Light" w:cs="KoPubWorld바탕체_Pro Light"/>
          <w:sz w:val="14"/>
          <w:vertAlign w:val="superscript"/>
        </w:rPr>
        <w:t>36</w:t>
      </w:r>
    </w:p>
    <w:p>
      <w:pPr>
        <w:pStyle w:val="aff3"/>
        <w:spacing w:line="259" w:lineRule="auto"/>
      </w:pPr>
      <w:r>
        <w:rPr>
          <w:rFonts w:ascii="KoPubWorld바탕체_Pro Light" w:hAnsi="KoPubWorld바탕체_Pro Light" w:eastAsia="KoPubWorld바탕체_Pro Light" w:cs="KoPubWorld바탕체_Pro Light"/>
          <w:sz w:val="16"/>
        </w:rPr>
        <w:t>이 시대는 흔히 숲속에 은행 간판만 걸고 가치 없는 지폐를 찍어 낸 ‘들고양이 은행’의 이미지로 기억된다. 실제 사기와 먼 곳의 상환창구, 부실담보 문제가 있었다. 그러나 모든 자유은행이 허깨비였던 것은 아니며, 지역과 법에 따라 성과가 크게 달랐다는 연구도 있다. 실패율과 소지자 손실을 과장했다는 반론은 ‘분산=혼란’이라는 단순한 결론을 경계하게 한다.</w:t>
      </w:r>
      <w:r>
        <w:rPr>
          <w:rFonts w:ascii="KoPubWorld바탕체_Pro Light" w:hAnsi="KoPubWorld바탕체_Pro Light" w:eastAsia="KoPubWorld바탕체_Pro Light" w:cs="KoPubWorld바탕체_Pro Light"/>
          <w:sz w:val="14"/>
          <w:vertAlign w:val="superscript"/>
        </w:rPr>
        <w:t>35</w:t>
      </w:r>
    </w:p>
    <w:p>
      <w:pPr>
        <w:pStyle w:val="aff3"/>
        <w:spacing w:line="259" w:lineRule="auto"/>
      </w:pPr>
      <w:r>
        <w:rPr>
          <w:rFonts w:ascii="KoPubWorld바탕체_Pro Light" w:hAnsi="KoPubWorld바탕체_Pro Light" w:eastAsia="KoPubWorld바탕체_Pro Light" w:cs="KoPubWorld바탕체_Pro Light"/>
          <w:sz w:val="16"/>
        </w:rPr>
        <w:t>핵심은 담보의 질이었다. 은행권을 특정 주채권으로 뒷받침해도 그 주의 재정이 나빠지면 지폐의 안전도 함께 흔들린다. 법정 담보라는 이름이 시장위험을 없애지 않았다. 오히려 은행이 같은 종류의 채권을 보유하면 한 가격충격이 여러 은행에 동시에 번질 수 있었다.</w:t>
      </w:r>
    </w:p>
    <w:p>
      <w:pPr>
        <w:pStyle w:val="aff3"/>
        <w:spacing w:line="259" w:lineRule="auto"/>
      </w:pPr>
      <w:r>
        <w:rPr>
          <w:rFonts w:ascii="KoPubWorld바탕체_Pro Light" w:hAnsi="KoPubWorld바탕체_Pro Light" w:eastAsia="KoPubWorld바탕체_Pro Light" w:cs="KoPubWorld바탕체_Pro Light"/>
          <w:sz w:val="16"/>
        </w:rPr>
        <w:t>지리적 거리도 규율과 차익거래를 동시에 만들었다. 발행은행에서 멀수록 지폐를 금속으로 바꾸는 비용이 컸고, 은행은 상환청구가 적을 것을 기대해 더 많이 발행할 수 있었다. 반면 지폐중개인과 결제망은 할인율 정보를 모아 나쁜 은행권을 구별했다. 시장규율은 작동했지만 정보가 늦고 비용이 컸다.</w:t>
      </w:r>
    </w:p>
    <w:p>
      <w:pPr>
        <w:pStyle w:val="aff3"/>
        <w:spacing w:line="259" w:lineRule="auto"/>
      </w:pPr>
      <w:r>
        <w:rPr>
          <w:rFonts w:ascii="KoPubWorld바탕체_Pro Light" w:hAnsi="KoPubWorld바탕체_Pro Light" w:eastAsia="KoPubWorld바탕체_Pro Light" w:cs="KoPubWorld바탕체_Pro Light"/>
          <w:sz w:val="16"/>
        </w:rPr>
        <w:t>지폐 안내책자는 사적 신용평가기관의 초기 형태였다. 발행은행의 위치와 위조 여부, 할인율을 정리해 거래자가 참고하게 했다. 정보산업은 난립한 돈의 불편에서 성장했다. 그러나 발행은행이 갑자기 문을 닫는다면 어제의 할인표는 오늘의 손실을 막지 못했다.</w:t>
      </w:r>
    </w:p>
    <w:p>
      <w:pPr>
        <w:pStyle w:val="aff3"/>
        <w:spacing w:line="259" w:lineRule="auto"/>
      </w:pPr>
      <w:r>
        <w:rPr>
          <w:rFonts w:ascii="KoPubWorld바탕체_Pro Light" w:hAnsi="KoPubWorld바탕체_Pro Light" w:eastAsia="KoPubWorld바탕체_Pro Light" w:cs="KoPubWorld바탕체_Pro Light"/>
          <w:sz w:val="16"/>
        </w:rPr>
        <w:t>상환을 요구하는 지폐중개인은 규율을 강화했지만 은행의 현금을 빠르게 고갈시킬 수도 있었다. 나쁜 은행을 골라 내는 행위와 공황을 촉발하는 행위가 같은 모습으로 나타났다. 시장감시는 안정장치이면서 불안정의 전달자였다.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전쟁이 통일화폐를 요구하다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남북전쟁은 연방정부의 지출과 부채를 급격히 늘렸다. 세금만으로 비용을 감당할 수 없어 국채와 ‘그린백’이라 불린 정부지폐가 발행되었다. 주 은행권이 뒤섞인 상태에서 연방은 국채수요와 통일된 화폐를 함께 만들 방법을 찾았다. 국민은행제도는 통화개혁이자 전쟁재정이었다.</w:t>
      </w:r>
      <w:r>
        <w:rPr>
          <w:rFonts w:ascii="KoPubWorld바탕체_Pro Light" w:hAnsi="KoPubWorld바탕체_Pro Light" w:eastAsia="KoPubWorld바탕체_Pro Light" w:cs="KoPubWorld바탕체_Pro Light"/>
          <w:sz w:val="14"/>
          <w:vertAlign w:val="superscript"/>
        </w:rPr>
        <w:t>35</w:t>
      </w:r>
    </w:p>
    <w:p>
      <w:pPr>
        <w:pStyle w:val="aff3"/>
        <w:spacing w:line="259" w:lineRule="auto"/>
      </w:pPr>
      <w:r>
        <w:rPr>
          <w:rFonts w:ascii="KoPubWorld바탕체_Pro Light" w:hAnsi="KoPubWorld바탕체_Pro Light" w:eastAsia="KoPubWorld바탕체_Pro Light" w:cs="KoPubWorld바탕체_Pro Light"/>
          <w:sz w:val="16"/>
        </w:rPr>
        <w:t>링컨 대통령은 1863년 2월 25일 National Currency Act에 서명했다. 법은 통화감독청, 곧 OCC를 설치하고 연방특허 국민은행을 감독하게 했다. 1864년 6월 법은 제도를 크게 고쳐 National Bank Act로 알려지게 되었다.</w:t>
      </w:r>
      <w:r>
        <w:rPr>
          <w:rFonts w:ascii="KoPubWorld바탕체_Pro Light" w:hAnsi="KoPubWorld바탕체_Pro Light" w:eastAsia="KoPubWorld바탕체_Pro Light" w:cs="KoPubWorld바탕체_Pro Light"/>
          <w:sz w:val="14"/>
          <w:vertAlign w:val="superscript"/>
        </w:rPr>
        <w:t>37</w:t>
      </w:r>
      <w:r>
        <w:rPr>
          <w:rFonts w:ascii="KoPubWorld바탕체_Pro Light" w:hAnsi="KoPubWorld바탕체_Pro Light" w:eastAsia="KoPubWorld바탕체_Pro Light" w:cs="KoPubWorld바탕체_Pro Light"/>
          <w:sz w:val="16"/>
        </w:rPr>
        <w:t xml:space="preserve"> 은행설립의 기준과 검사, 자본과 준비금, 지폐발행을 연방규칙 아래 두었다.</w:t>
      </w:r>
    </w:p>
    <w:p>
      <w:pPr>
        <w:pStyle w:val="aff3"/>
        <w:spacing w:line="259" w:lineRule="auto"/>
      </w:pPr>
      <w:r>
        <w:rPr>
          <w:rFonts w:ascii="KoPubWorld바탕체_Pro Light" w:hAnsi="KoPubWorld바탕체_Pro Light" w:eastAsia="KoPubWorld바탕체_Pro Light" w:cs="KoPubWorld바탕체_Pro Light"/>
          <w:sz w:val="16"/>
        </w:rPr>
        <w:t>국민은행권은 은행이 재무부에 맡긴 미국 국채를 바탕으로 발행되었다. 연방정부는 국채의 수요를 얻고, 국민은행은 통일된 형태의 지폐를 발행했다. 은행이 실패하면 담보국채를 처분해 소지자를 보호하는 구조였다. 정부부채가 민간화폐의 안전자산이 되면서 국가신용과 은행신용이 다시 결합했다.</w:t>
      </w:r>
    </w:p>
    <w:p>
      <w:pPr>
        <w:pStyle w:val="aff3"/>
        <w:spacing w:line="259" w:lineRule="auto"/>
      </w:pPr>
      <w:r>
        <w:rPr>
          <w:rFonts w:ascii="KoPubWorld바탕체_Pro Light" w:hAnsi="KoPubWorld바탕체_Pro Light" w:eastAsia="KoPubWorld바탕체_Pro Light" w:cs="KoPubWorld바탕체_Pro Light"/>
          <w:sz w:val="16"/>
        </w:rPr>
        <w:t>이 결합은 전쟁 중 연방을 돕는다는 정치적 목적을 가졌다. 통화의 안전기준을 국채로 정하면 은행의 발권수요가 곧 국채수요가 된다. 화폐제도는 중립적인 결제개혁이 아니라 연방정부의 재정기반을 강화했다. 남부와 서부에서 이를 중앙권력 확장으로 보는 시각이 나온 이유다.</w:t>
      </w:r>
    </w:p>
    <w:p>
      <w:pPr>
        <w:pStyle w:val="aff3"/>
        <w:spacing w:line="259" w:lineRule="auto"/>
      </w:pPr>
      <w:r>
        <w:rPr>
          <w:rFonts w:ascii="KoPubWorld바탕체_Pro Light" w:hAnsi="KoPubWorld바탕체_Pro Light" w:eastAsia="KoPubWorld바탕체_Pro Light" w:cs="KoPubWorld바탕체_Pro Light"/>
          <w:sz w:val="16"/>
        </w:rPr>
        <w:t>국채담보는 은행주주의 손실흡수 자본과도 다르다. 특정 부채인 은행권을 보호하지만 예금과 일반채권까지 자동으로 보호하지 않는다. 한 안전장치가 누구를 위한 것인지 명확히 하지 않으면 ‘은행이 규제된다’는 말이 실제 보호범위를 과장한다.</w:t>
      </w:r>
    </w:p>
    <w:p>
      <w:pPr>
        <w:pStyle w:val="aff3"/>
        <w:spacing w:line="259" w:lineRule="auto"/>
      </w:pPr>
      <w:r>
        <w:rPr>
          <w:rFonts w:ascii="KoPubWorld바탕체_Pro Light" w:hAnsi="KoPubWorld바탕체_Pro Light" w:eastAsia="KoPubWorld바탕체_Pro Light" w:cs="KoPubWorld바탕체_Pro Light"/>
          <w:sz w:val="16"/>
        </w:rPr>
        <w:t>법은 은행의 위치에 따라 자본과 준비금 요건을 달리 두었다. 1864년 법 아래 중앙준비도시의 은행은 지폐와 예금채무의 일정 비율을 금으로 보유했고, 다른 은행은 준비금 일부를 상위도시 은행의 예금으로 둘 수 있었다.</w:t>
      </w:r>
      <w:r>
        <w:rPr>
          <w:rFonts w:ascii="KoPubWorld바탕체_Pro Light" w:hAnsi="KoPubWorld바탕체_Pro Light" w:eastAsia="KoPubWorld바탕체_Pro Light" w:cs="KoPubWorld바탕체_Pro Light"/>
          <w:sz w:val="14"/>
          <w:vertAlign w:val="superscript"/>
        </w:rPr>
        <w:t>35</w:t>
      </w:r>
      <w:r>
        <w:rPr>
          <w:rFonts w:ascii="KoPubWorld바탕체_Pro Light" w:hAnsi="KoPubWorld바탕체_Pro Light" w:eastAsia="KoPubWorld바탕체_Pro Light" w:cs="KoPubWorld바탕체_Pro Light"/>
          <w:sz w:val="16"/>
        </w:rPr>
        <w:t xml:space="preserve"> 현금을 효율적으로 모으는 구조였지만 위기에는 여러 지역의 은행이 동시에 뉴욕의 준비금을 찾는 피라미드를 만들었다.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10퍼센트 세금과 이중은행제도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새 국민은행권이 생겨도 기존 주 은행권은 곧 사라지지 않았다. 연방은 1865년 주 은행권에 10퍼센트 세금을 부과해 발행을 사실상 수익성 없게 만들었다. 주 은행권 유통액은 1865년 1억4,300만 달러에서 1867년 400만 달러로 급감했다.</w:t>
      </w:r>
      <w:r>
        <w:rPr>
          <w:rFonts w:ascii="KoPubWorld바탕체_Pro Light" w:hAnsi="KoPubWorld바탕체_Pro Light" w:eastAsia="KoPubWorld바탕체_Pro Light" w:cs="KoPubWorld바탕체_Pro Light"/>
          <w:sz w:val="14"/>
          <w:vertAlign w:val="superscript"/>
        </w:rPr>
        <w:t>35</w:t>
      </w:r>
      <w:r>
        <w:rPr>
          <w:rFonts w:ascii="KoPubWorld바탕체_Pro Light" w:hAnsi="KoPubWorld바탕체_Pro Light" w:eastAsia="KoPubWorld바탕체_Pro Light" w:cs="KoPubWorld바탕체_Pro Light"/>
          <w:sz w:val="16"/>
        </w:rPr>
        <w:t xml:space="preserve"> 통일은 경쟁에서 자연스럽게 승리한 결과가 아니라 세제권을 이용한 규제였다.</w:t>
      </w:r>
    </w:p>
    <w:p>
      <w:pPr>
        <w:pStyle w:val="aff3"/>
        <w:spacing w:line="259" w:lineRule="auto"/>
      </w:pPr>
      <w:r>
        <w:rPr>
          <w:rFonts w:ascii="KoPubWorld바탕체_Pro Light" w:hAnsi="KoPubWorld바탕체_Pro Light" w:eastAsia="KoPubWorld바탕체_Pro Light" w:cs="KoPubWorld바탕체_Pro Light"/>
          <w:sz w:val="16"/>
        </w:rPr>
        <w:t>그렇다고 주 은행이 사라진 것은 아니다. 지폐 대신 수표로 이전할 수 있는 예금을 늘리며 새로운 사업모델을 찾았다. 연방특허와 주특허 은행이 함께 존재하는 이중은행제도가 형성되었다. 은행은 자신에게 유리한 감독체계를 선택할 수 있었고, 두 체계는 혁신과 규제차익을 동시에 낳았다.</w:t>
      </w:r>
    </w:p>
    <w:p>
      <w:pPr>
        <w:pStyle w:val="aff3"/>
        <w:spacing w:line="259" w:lineRule="auto"/>
      </w:pPr>
      <w:r>
        <w:rPr>
          <w:rFonts w:ascii="KoPubWorld바탕체_Pro Light" w:hAnsi="KoPubWorld바탕체_Pro Light" w:eastAsia="KoPubWorld바탕체_Pro Light" w:cs="KoPubWorld바탕체_Pro Light"/>
          <w:sz w:val="16"/>
        </w:rPr>
        <w:t>이중제도의 지지자는 경쟁하는 감독자가 지역의 필요에 맞는 은행을 허용하고 연방의 독점을 막는다고 본다. 반대자는 은행이 더 느슨한 규칙을 찾아 이동하고 위기책임이 분산된다고 본다. 어느 한쪽만 맞지 않았다. 주 은행은 지역신용을 공급했고, 연방제도는 지폐를 통일했지만 둘 사이의 경계가 감독의 빈틈이 되기도 했다.</w:t>
      </w:r>
    </w:p>
    <w:p>
      <w:pPr>
        <w:pStyle w:val="aff3"/>
        <w:spacing w:line="259" w:lineRule="auto"/>
      </w:pPr>
      <w:r>
        <w:rPr>
          <w:rFonts w:ascii="KoPubWorld바탕체_Pro Light" w:hAnsi="KoPubWorld바탕체_Pro Light" w:eastAsia="KoPubWorld바탕체_Pro Light" w:cs="KoPubWorld바탕체_Pro Light"/>
          <w:sz w:val="16"/>
        </w:rPr>
        <w:t>감독자의 경쟁은 규칙을 개선할 수도, 낮추기 경쟁을 부를 수도 있다. 은행이 헌장을 바꾸면 감독기관은 수수료와 영향력을 잃는다. 감독기관이 자신이 감독하는 은행 수를 성과로 본다면 엄격한 제재를 주저할 수 있다. 규제자의 재정과 평가방식도 은행의 선택에 영향을 준다.</w:t>
      </w:r>
    </w:p>
    <w:p>
      <w:pPr>
        <w:pStyle w:val="aff3"/>
        <w:spacing w:line="259" w:lineRule="auto"/>
      </w:pPr>
      <w:r>
        <w:rPr>
          <w:rFonts w:ascii="KoPubWorld바탕체_Pro Light" w:hAnsi="KoPubWorld바탕체_Pro Light" w:eastAsia="KoPubWorld바탕체_Pro Light" w:cs="KoPubWorld바탕체_Pro Light"/>
          <w:sz w:val="16"/>
        </w:rPr>
        <w:t>통일은행권의 대가도 있었다. 지폐공급이 국채보유와 연결되면 경제가 필요로 하는 현금수요와 국채의 공급·가격이 맞지 않을 수 있다. 특히 농산물 이동기에 현금수요가 늘어도 은행권을 빠르게 확대하기 어려웠다. ‘비탄력적 통화’라는 비판은 국민은행시대의 공황논쟁에서 반복되었다.</w:t>
      </w:r>
      <w:r>
        <w:rPr>
          <w:rFonts w:ascii="KoPubWorld바탕체_Pro Light" w:hAnsi="KoPubWorld바탕체_Pro Light" w:eastAsia="KoPubWorld바탕체_Pro Light" w:cs="KoPubWorld바탕체_Pro Light"/>
          <w:sz w:val="14"/>
          <w:vertAlign w:val="superscript"/>
        </w:rPr>
        <w:t>38</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통일된 지폐, 반복되는 공황</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국민은행법은 먼 지역의 낯선 지폐가 서로 다른 할인율로 거래되는 문제를 크게 줄였다. OCC의 검사와 연방기준도 은행제도의 공통틀을 만들었다. 그러나 1873년, 1893년을 비롯한 공황은 계속되었다. 연준의 역사자료는 빠른 경제성장과 함께 도금시대의 주기적 금융공황이 이어졌다고 설명한다.</w:t>
      </w:r>
      <w:r>
        <w:rPr>
          <w:rFonts w:ascii="KoPubWorld바탕체_Pro Light" w:hAnsi="KoPubWorld바탕체_Pro Light" w:eastAsia="KoPubWorld바탕체_Pro Light" w:cs="KoPubWorld바탕체_Pro Light"/>
          <w:sz w:val="14"/>
          <w:vertAlign w:val="superscript"/>
        </w:rPr>
        <w:t>38</w:t>
      </w:r>
    </w:p>
    <w:p>
      <w:pPr>
        <w:pStyle w:val="aff3"/>
        <w:spacing w:line="259" w:lineRule="auto"/>
      </w:pPr>
      <w:r>
        <w:rPr>
          <w:rFonts w:ascii="KoPubWorld바탕체_Pro Light" w:hAnsi="KoPubWorld바탕체_Pro Light" w:eastAsia="KoPubWorld바탕체_Pro Light" w:cs="KoPubWorld바탕체_Pro Light"/>
          <w:sz w:val="16"/>
        </w:rPr>
        <w:t>이유는 지폐의 안전과 은행 전체의 유동성이 다른 문제였기 때문이다. 예금은 늘었고 수표가 중요한 지급수단이 되었지만, 국채담보는 주로 은행권을 보호했다. 예금자가 동시에 현금을 찾을 때 모든 은행에 충분한 준비금을 공급할 중앙기관은 없었다. 안전하게 설계된 한 종류의 부채가 다른 종류의 런을 막지 못했다.</w:t>
      </w:r>
    </w:p>
    <w:p>
      <w:pPr>
        <w:pStyle w:val="aff3"/>
        <w:spacing w:line="259" w:lineRule="auto"/>
      </w:pPr>
      <w:r>
        <w:rPr>
          <w:rFonts w:ascii="KoPubWorld바탕체_Pro Light" w:hAnsi="KoPubWorld바탕체_Pro Light" w:eastAsia="KoPubWorld바탕체_Pro Light" w:cs="KoPubWorld바탕체_Pro Light"/>
          <w:sz w:val="16"/>
        </w:rPr>
        <w:t>단일점포 제한과 주간 지점설립의 제약도 위험분산을 어렵게 했다. 지역은행은 특정 지역의 농업과 산업 충격에 노출되었다. 대형 네트워크가 지역충격을 흡수할 수 있다는 주장과, 지점은행이 금융권력을 집중시킨다는 반론이 맞섰다. 미국은 분산된 정치구조를 지키는 대신 다수의 작은 은행과 복잡한 준비금 연결망을 선택했다.</w:t>
      </w:r>
    </w:p>
    <w:p>
      <w:pPr>
        <w:pStyle w:val="aff3"/>
        <w:spacing w:line="259" w:lineRule="auto"/>
      </w:pPr>
      <w:r>
        <w:rPr>
          <w:rFonts w:ascii="KoPubWorld바탕체_Pro Light" w:hAnsi="KoPubWorld바탕체_Pro Light" w:eastAsia="KoPubWorld바탕체_Pro Light" w:cs="KoPubWorld바탕체_Pro Light"/>
          <w:sz w:val="16"/>
        </w:rPr>
        <w:t>위기 때 뉴욕청산소 같은 사적 조직이 회원은행의 정보를 점검하고 청산소증서를 발행해 현금부족을 완화했다. 이는 민간의 협력이 중앙은행 기능 일부를 대신할 수 있음을 보여 준다. 동시에 비회원 기관은 보호 밖에 놓였고, 전국적 충격에 대응하기에는 규모와 정당성이 부족했다.</w:t>
      </w:r>
      <w:r>
        <w:rPr>
          <w:rFonts w:ascii="KoPubWorld바탕체_Pro Light" w:hAnsi="KoPubWorld바탕체_Pro Light" w:eastAsia="KoPubWorld바탕체_Pro Light" w:cs="KoPubWorld바탕체_Pro Light"/>
          <w:sz w:val="14"/>
          <w:vertAlign w:val="superscript"/>
        </w:rPr>
        <w:t>39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자유와 안정의 잘못된 양자택일</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국민은행제도는 성공과 실패를 함께 남겼다. 통일된 은행권, 연방검사, 자본과 준비금 기준을 만들었고 전쟁부채 조달을 도왔다. 그러나 통화공급의 경직성, 지역별 은행구조, 준비금 집중과 최종대부자의 부재를 해결하지 못했다. 제도는 자신이 목표로 한 문제에는 상당히 성공했지만, 금융의 중심이 지폐에서 예금으로 옮겨 가는 변화에 뒤처졌다.</w:t>
      </w:r>
    </w:p>
    <w:p>
      <w:pPr>
        <w:pStyle w:val="aff3"/>
        <w:spacing w:line="259" w:lineRule="auto"/>
      </w:pPr>
      <w:r>
        <w:rPr>
          <w:rFonts w:ascii="KoPubWorld바탕체_Pro Light" w:hAnsi="KoPubWorld바탕체_Pro Light" w:eastAsia="KoPubWorld바탕체_Pro Light" w:cs="KoPubWorld바탕체_Pro Light"/>
          <w:sz w:val="16"/>
        </w:rPr>
        <w:t>자유은행시대 역시 무질서의 한 단어로 지울 수 없다. 일반법에 따른 진입은 정치적 특허를 줄였고 여러 지역의 신용을 넓혔다. 동시에 서로 다른 규칙과 먼 상환지점은 화폐의 품질을 불균등하게 만들었다. 시장규율은 정보를 생산했지만, 공황 때 모두가 사용할 현금을 만들어 내지는 못했다.</w:t>
      </w:r>
    </w:p>
    <w:p>
      <w:pPr>
        <w:pStyle w:val="aff3"/>
        <w:spacing w:line="259" w:lineRule="auto"/>
      </w:pPr>
      <w:r>
        <w:rPr>
          <w:rFonts w:ascii="KoPubWorld바탕체_Pro Light" w:hAnsi="KoPubWorld바탕체_Pro Light" w:eastAsia="KoPubWorld바탕체_Pro Light" w:cs="KoPubWorld바탕체_Pro Light"/>
          <w:sz w:val="16"/>
        </w:rPr>
        <w:t>미국의 선택은 자유와 중앙은행 가운데 하나가 아니었다. 어떤 기능을 중앙화하고 어떤 위험을 지역에 남길 것인가의 선택이었다. 1860년대에는 지폐의 모양과 담보, 감독을 중앙화하면서 은행소유와 영업은 분산시켰다.</w:t>
      </w:r>
      <w:r>
        <w:rPr>
          <w:rFonts w:ascii="KoPubWorld바탕체_Pro Light" w:hAnsi="KoPubWorld바탕체_Pro Light" w:eastAsia="KoPubWorld바탕체_Pro Light" w:cs="KoPubWorld바탕체_Pro Light"/>
          <w:sz w:val="14"/>
          <w:vertAlign w:val="superscript"/>
        </w:rPr>
        <w:t>35</w:t>
      </w:r>
      <w:r>
        <w:rPr>
          <w:rFonts w:ascii="KoPubWorld바탕체_Pro Light" w:hAnsi="KoPubWorld바탕체_Pro Light" w:eastAsia="KoPubWorld바탕체_Pro Light" w:cs="KoPubWorld바탕체_Pro Light"/>
          <w:sz w:val="16"/>
        </w:rPr>
        <w:t xml:space="preserve"> 1907년에는 그 절충의 빈틈이 신탁회사와 콜머니 시장에서 드러났다.</w:t>
      </w:r>
      <w:r>
        <w:rPr>
          <w:rFonts w:ascii="KoPubWorld바탕체_Pro Light" w:hAnsi="KoPubWorld바탕체_Pro Light" w:eastAsia="KoPubWorld바탕체_Pro Light" w:cs="KoPubWorld바탕체_Pro Light"/>
          <w:sz w:val="14"/>
          <w:vertAlign w:val="superscript"/>
        </w:rPr>
        <w:t>39</w:t>
      </w:r>
    </w:p>
    <w:p>
      <w:pPr>
        <w:pStyle w:val="aff3"/>
        <w:spacing w:line="259" w:lineRule="auto"/>
      </w:pPr>
      <w:r>
        <w:rPr>
          <w:rFonts w:ascii="KoPubWorld바탕체_Pro Light" w:hAnsi="KoPubWorld바탕체_Pro Light" w:eastAsia="KoPubWorld바탕체_Pro Light" w:cs="KoPubWorld바탕체_Pro Light"/>
          <w:sz w:val="16"/>
        </w:rPr>
        <w:t>규제는 대개 어제의 실패를 잘 겨냥한다. 그러는 사이 시장은 다른 약속을 키운다. 주 은행권을 통제하자 예금과 수표가 늘었고, 국민은행을 규율하자 상대적으로 느슨한 신탁회사가 성장했다. 다음 공황은 가장 엄격하게 규제된 은행의 지폐가 아니라, 규제의 경계에 있던 기관의 예금에서 시작되었다. 금융안정의 역사는 중앙집권이 자유를 이긴 이야기가 아니라 위험이 계속 경계를 옮겨 다닌 이야기다.</w:t>
      </w:r>
    </w:p>
    <w:p>
      <w:pPr>
        <w:pStyle w:val="aff2"/>
        <w:pageBreakBefore/>
        <w:spacing w:before="440"/>
        <w:jc w:val="center"/>
      </w:pPr>
      <w:r>
        <w:rPr>
          <w:rFonts w:ascii="KoPubWorld바탕체_Pro Bold" w:hAnsi="KoPubWorld바탕체_Pro Bold" w:eastAsia="KoPubWorld바탕체_Pro Bold" w:cs="KoPubWorld바탕체_Pro Bold"/>
          <w:b/>
          <w:sz w:val="24"/>
        </w:rPr>
        <w:t>Chapter. 10</w:t>
      </w:r>
    </w:p>
    <w:p>
      <w:pPr>
        <w:pStyle w:val="aff1"/>
        <w:jc w:val="center"/>
      </w:pPr>
      <w:r>
        <w:rPr>
          <w:rFonts w:ascii="KoPubWorld바탕체_Pro Bold" w:hAnsi="KoPubWorld바탕체_Pro Bold" w:eastAsia="KoPubWorld바탕체_Pro Bold" w:cs="KoPubWorld바탕체_Pro Bold"/>
          <w:b/>
          <w:sz w:val="28"/>
        </w:rPr>
        <w:t>1907년, 민간 구제의 한계 — 연방준비제도의 탄생</w:t>
      </w:r>
    </w:p>
    <w:p>
      <w:pPr>
        <w:spacing w:before="60" w:after="0"/>
      </w:pPr>
    </w:p>
    <w:p>
      <w:pPr>
        <w:keepNext/>
        <w:jc w:val="center"/>
      </w:pPr>
      <w:r>
        <w:drawing>
          <wp:inline xmlns:a="http://schemas.openxmlformats.org/drawingml/2006/main" xmlns:pic="http://schemas.openxmlformats.org/drawingml/2006/picture">
            <wp:extent cx="3941063" cy="2218026"/>
            <wp:docPr id="5" name="Picture 5" descr="1907년 은행 앞의 예금자들. 민간 금융가의 구제가 공공 중앙은행을 대신할 수 있는지가 시험대에 올랐다." title="1907년 은행 앞의 예금자들. 민간 금융가의 구제가 공공 중앙은행을 대신할 수 있는지가 시험대에 올랐다."/>
            <wp:cNvGraphicFramePr>
              <a:graphicFrameLocks noChangeAspect="1"/>
            </wp:cNvGraphicFramePr>
            <a:graphic>
              <a:graphicData uri="http://schemas.openxmlformats.org/drawingml/2006/picture">
                <pic:pic>
                  <pic:nvPicPr>
                    <pic:cNvPr id="0" name="part2_bank_run_gray_q86.jpg"/>
                    <pic:cNvPicPr/>
                  </pic:nvPicPr>
                  <pic:blipFill>
                    <a:blip r:embed="rId43"/>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10. 1907년 은행 앞의 예금자들. 민간 금융가의 구제가 공공 중앙은행을 대신할 수 있는지가 시험대에 올랐다.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1907년 10월 22일 아침, 뉴욕의 니커보커 신탁회사 앞에 사람들이 줄을 섰다. 불과 며칠 전 구리회사 주식을 둘러싼 투기계획이 실패했고, 그 계획에 연루된 금융인들의 이름이 신문에 오르내렸다. 니커보커의 경영진도 의심을 받았다. 결제를 대행하던 내셔널 뱅크 오브 커머스가 더는 니커보커의 청산을 맡지 않겠다고 하자, 의심은 인출로 바뀌었다.</w:t>
      </w:r>
      <w:r>
        <w:rPr>
          <w:rFonts w:ascii="KoPubWorld바탕체_Pro Light" w:hAnsi="KoPubWorld바탕체_Pro Light" w:eastAsia="KoPubWorld바탕체_Pro Light" w:cs="KoPubWorld바탕체_Pro Light"/>
          <w:sz w:val="14"/>
          <w:vertAlign w:val="superscript"/>
        </w:rPr>
        <w:t>39</w:t>
      </w:r>
    </w:p>
    <w:p>
      <w:pPr>
        <w:pStyle w:val="aff3"/>
        <w:spacing w:line="259" w:lineRule="auto"/>
      </w:pPr>
      <w:r>
        <w:rPr>
          <w:rFonts w:ascii="KoPubWorld바탕체_Pro Light" w:hAnsi="KoPubWorld바탕체_Pro Light" w:eastAsia="KoPubWorld바탕체_Pro Light" w:cs="KoPubWorld바탕체_Pro Light"/>
          <w:sz w:val="16"/>
        </w:rPr>
        <w:t>예금자는 회사의 모든 자산을 평가할 수 없었다. 먼저 돈을 찾는 사람이 전액을 받고 늦게 온 사람이 손실을 본다면, 줄을 서는 것이 합리적이다. 니커보커는 지급을 멈췄고 공포는 다른 신탁회사와 은행, 증권시장으로 번졌다. 미국에는 영란은행처럼 시장 전체에 유동성을 공급할 중앙은행이 없었다. 마지막 대부자는 한 사람의 서재에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신탁회사는 왜 경계 밖에서 자랐는가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신탁회사는 원래 유산과 재산을 관리하는 업무에서 출발했지만 예금을 받고 증권과 부동산에 투자하며 은행과 경쟁했다. 뉴욕의 국민은행보다 준비금과 업무 제한이 느슨했고, 빠르게 성장했다. 수익성이 높은 대신 현금성 자산이 적고 시장가격에 민감한 자산이 많았다. 규제가 다른 기관 사이의 경쟁이 위험을 경계 밖으로 밀어낸 사례다.</w:t>
      </w:r>
      <w:r>
        <w:rPr>
          <w:rFonts w:ascii="KoPubWorld바탕체_Pro Light" w:hAnsi="KoPubWorld바탕체_Pro Light" w:eastAsia="KoPubWorld바탕체_Pro Light" w:cs="KoPubWorld바탕체_Pro Light"/>
          <w:sz w:val="14"/>
          <w:vertAlign w:val="superscript"/>
        </w:rPr>
        <w:t>39</w:t>
      </w:r>
    </w:p>
    <w:p>
      <w:pPr>
        <w:pStyle w:val="aff3"/>
        <w:spacing w:line="259" w:lineRule="auto"/>
      </w:pPr>
      <w:r>
        <w:rPr>
          <w:rFonts w:ascii="KoPubWorld바탕체_Pro Light" w:hAnsi="KoPubWorld바탕체_Pro Light" w:eastAsia="KoPubWorld바탕체_Pro Light" w:cs="KoPubWorld바탕체_Pro Light"/>
          <w:sz w:val="16"/>
        </w:rPr>
        <w:t>뉴욕청산소는 회원은행의 결제를 상계하고 위기 때 공동대응을 조직했다. 회원에게 정보를 요구하고 규율을 부과하는 사적 감독기구이기도 했다. 그러나 주요 신탁회사는 같은 수준으로 청산소 체계에 편입되지 않았다. 위기가 회원 밖에서 시작하자 누가 정보를 확인하고 누가 지원을 결정할지 불분명했다.</w:t>
      </w:r>
    </w:p>
    <w:p>
      <w:pPr>
        <w:pStyle w:val="aff3"/>
        <w:spacing w:line="259" w:lineRule="auto"/>
      </w:pPr>
      <w:r>
        <w:rPr>
          <w:rFonts w:ascii="KoPubWorld바탕체_Pro Light" w:hAnsi="KoPubWorld바탕체_Pro Light" w:eastAsia="KoPubWorld바탕체_Pro Light" w:cs="KoPubWorld바탕체_Pro Light"/>
          <w:sz w:val="16"/>
        </w:rPr>
        <w:t>규제차이는 두 방향으로 작동했다. 은행의 엄격한 준비금은 안전을 높일 수 있지만, 수익을 찾는 자금과 사업은 신탁회사로 이동했다. 신탁회사의 혁신과 경쟁은 고객에게 선택을 주었지만, 같은 예금기능에 다른 안전장치를 적용했다. 기관의 이름을 기준으로 한 규제가 기능의 변화를 따라가지 못했다.</w:t>
      </w:r>
    </w:p>
    <w:p>
      <w:pPr>
        <w:pStyle w:val="aff3"/>
        <w:spacing w:line="259" w:lineRule="auto"/>
      </w:pPr>
      <w:r>
        <w:rPr>
          <w:rFonts w:ascii="KoPubWorld바탕체_Pro Light" w:hAnsi="KoPubWorld바탕체_Pro Light" w:eastAsia="KoPubWorld바탕체_Pro Light" w:cs="KoPubWorld바탕체_Pro Light"/>
          <w:sz w:val="16"/>
        </w:rPr>
        <w:t>니커보커의 위기는 단순히 느슨한 규제의 결과만은 아니다. 투기 실패와 이해관계, 정보의 불확실성, 결제대행 중단이 한꺼번에 신뢰를 끊었다. 높은 준비금 하나만으로 경영진의 연계와 시장의 공포를 막을 수는 없었다. 그러나 손실을 흡수하고 시간을 벌 여유가 적었던 것은 전염을 빠르게 했다.</w:t>
      </w:r>
    </w:p>
    <w:p>
      <w:pPr>
        <w:pStyle w:val="aff3"/>
        <w:spacing w:line="259" w:lineRule="auto"/>
      </w:pPr>
      <w:r>
        <w:rPr>
          <w:rFonts w:ascii="KoPubWorld바탕체_Pro Light" w:hAnsi="KoPubWorld바탕체_Pro Light" w:eastAsia="KoPubWorld바탕체_Pro Light" w:cs="KoPubWorld바탕체_Pro Light"/>
          <w:sz w:val="16"/>
        </w:rPr>
        <w:t>결제대행은행의 결정은 사적 위험관리이면서 시스템적 신호였다. 한 기관이 니커보커와 거래를 끊자 다른 사람은 자신이 모르는 나쁜 정보가 있다고 추측했다. 거래상대 한도를 줄이는 개별기관의 방어가 시장 전체의 신뢰를 무너뜨릴 수 있다. 오늘날 청산회원과 결제은행에 공적 기준을 두는 이유다.</w:t>
      </w:r>
    </w:p>
    <w:p>
      <w:pPr>
        <w:pStyle w:val="aff3"/>
        <w:spacing w:line="259" w:lineRule="auto"/>
      </w:pPr>
      <w:r>
        <w:rPr>
          <w:rFonts w:ascii="KoPubWorld바탕체_Pro Light" w:hAnsi="KoPubWorld바탕체_Pro Light" w:eastAsia="KoPubWorld바탕체_Pro Light" w:cs="KoPubWorld바탕체_Pro Light"/>
          <w:sz w:val="16"/>
        </w:rPr>
        <w:t>신탁회사에 대한 런은 기관명보다 기능을 보아야 한다는 교훈도 남겼다. 예금과 만기변환을 한다면 전통 은행이 아니어도 유동성위험은 비슷하다. 규제가 은행 간판만 따라가면 같은 위험은 더 싼 규칙을 찾아 다른 간판으로 이동한다.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J. P. 모건의 서재</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존 피어폰트 모건은 은행가와 신탁회사 대표를 불러 장부를 조사하게 하고, 살아남을 기관과 지원하지 않을 기관을 가르려 했다. 자신의 자금만이 아니라 여러 은행과 부유한 투자자의 자금을 모아 유동성 풀을 만들었다. 뉴욕증권거래소가 콜머니 부족으로 문을 닫을 위기에 놓였을 때 자금을 모아 거래를 이어 가게 했다.</w:t>
      </w:r>
      <w:r>
        <w:rPr>
          <w:rFonts w:ascii="KoPubWorld바탕체_Pro Light" w:hAnsi="KoPubWorld바탕체_Pro Light" w:eastAsia="KoPubWorld바탕체_Pro Light" w:cs="KoPubWorld바탕체_Pro Light"/>
          <w:sz w:val="14"/>
          <w:vertAlign w:val="superscript"/>
        </w:rPr>
        <w:t>39</w:t>
      </w:r>
    </w:p>
    <w:p>
      <w:pPr>
        <w:pStyle w:val="aff3"/>
        <w:spacing w:line="259" w:lineRule="auto"/>
      </w:pPr>
      <w:r>
        <w:rPr>
          <w:rFonts w:ascii="KoPubWorld바탕체_Pro Light" w:hAnsi="KoPubWorld바탕체_Pro Light" w:eastAsia="KoPubWorld바탕체_Pro Light" w:cs="KoPubWorld바탕체_Pro Light"/>
          <w:sz w:val="16"/>
        </w:rPr>
        <w:t>모건의 대응은 빠른 사적 협력의 장점을 보여 주었다. 그는 시장 참가자를 알고 있었고 공식 절차를 기다리지 않고 결정을 내릴 수 있었다. 청산소도 증서를 발행해 회원은행끼리 현금 대신 결제에 사용하게 했다. 금 유입과 재무부의 지원도 유동성 완화에 기여했다.</w:t>
      </w:r>
      <w:r>
        <w:rPr>
          <w:rFonts w:ascii="KoPubWorld바탕체_Pro Light" w:hAnsi="KoPubWorld바탕체_Pro Light" w:eastAsia="KoPubWorld바탕체_Pro Light" w:cs="KoPubWorld바탕체_Pro Light"/>
          <w:sz w:val="14"/>
          <w:vertAlign w:val="superscript"/>
        </w:rPr>
        <w:t>39</w:t>
      </w:r>
    </w:p>
    <w:p>
      <w:pPr>
        <w:pStyle w:val="aff3"/>
        <w:spacing w:line="259" w:lineRule="auto"/>
      </w:pPr>
      <w:r>
        <w:rPr>
          <w:rFonts w:ascii="KoPubWorld바탕체_Pro Light" w:hAnsi="KoPubWorld바탕체_Pro Light" w:eastAsia="KoPubWorld바탕체_Pro Light" w:cs="KoPubWorld바탕체_Pro Light"/>
          <w:sz w:val="16"/>
        </w:rPr>
        <w:t>하지만 민간 구제에는 공적 기준이 없었다. 한 은행가가 누가 지급능력이 있는지, 어느 회사를 희생할지 결정했다. 경쟁자와 이해관계가 얽힌 사람이 시장의 문지기와 구제자가 되었다. 판단이 옳아도 민주적 위임과 사후책임이 부족했다.</w:t>
      </w:r>
    </w:p>
    <w:p>
      <w:pPr>
        <w:pStyle w:val="aff3"/>
        <w:spacing w:line="259" w:lineRule="auto"/>
      </w:pPr>
      <w:r>
        <w:rPr>
          <w:rFonts w:ascii="KoPubWorld바탕체_Pro Light" w:hAnsi="KoPubWorld바탕체_Pro Light" w:eastAsia="KoPubWorld바탕체_Pro Light" w:cs="KoPubWorld바탕체_Pro Light"/>
          <w:sz w:val="16"/>
        </w:rPr>
        <w:t>규모의 한계도 있었다. 모건이 동원할 수 있는 자금은 막대했지만 국가의 과세와 통화발행 능력에는 미치지 못했다. 위기가 더 크거나 모건이 없었다면 같은 구제가 가능했을지 알 수 없다. 개인의 명성과 네트워크에 의존하는 안정은 제도가 아니다.</w:t>
      </w:r>
    </w:p>
    <w:p>
      <w:pPr>
        <w:pStyle w:val="aff3"/>
        <w:spacing w:line="259" w:lineRule="auto"/>
      </w:pPr>
      <w:r>
        <w:rPr>
          <w:rFonts w:ascii="KoPubWorld바탕체_Pro Light" w:hAnsi="KoPubWorld바탕체_Pro Light" w:eastAsia="KoPubWorld바탕체_Pro Light" w:cs="KoPubWorld바탕체_Pro Light"/>
          <w:sz w:val="16"/>
        </w:rPr>
        <w:t>민간구제는 누구에게도 동일하게 열려 있지 않았다. 모건의 서재에 들어갈 수 있는 사람, 장부를 검토받을 기회를 얻는 기관, 지원풀에 참여할 은행은 관계망 안에 있었다. 작은 지방은행과 일반 예금자는 결정과정을 볼 수 없었다. 빠른 협력의 효율은 접근의 불평등을 대가로 삼았다.</w:t>
      </w:r>
    </w:p>
    <w:p>
      <w:pPr>
        <w:pStyle w:val="aff3"/>
        <w:spacing w:line="259" w:lineRule="auto"/>
      </w:pPr>
      <w:r>
        <w:rPr>
          <w:rFonts w:ascii="KoPubWorld바탕체_Pro Light" w:hAnsi="KoPubWorld바탕체_Pro Light" w:eastAsia="KoPubWorld바탕체_Pro Light" w:cs="KoPubWorld바탕체_Pro Light"/>
          <w:sz w:val="16"/>
        </w:rPr>
        <w:t>사후 손실분담도 모호했다. 모건이 모은 자금이 회수되지 않으면 참가은행과 주주가 손실을 지지만, 위기확산으로 기업과 노동자가 입은 손실은 계산에 들어가지 않는다. 민간 연합은 자신의 대차대조표를 지킬 유인은 있지만 사회 전체의 경기비용을 최소화할 의무는 없다.</w:t>
      </w:r>
    </w:p>
    <w:p>
      <w:pPr>
        <w:pStyle w:val="aff3"/>
        <w:spacing w:line="259" w:lineRule="auto"/>
      </w:pPr>
      <w:r>
        <w:rPr>
          <w:rFonts w:ascii="KoPubWorld바탕체_Pro Light" w:hAnsi="KoPubWorld바탕체_Pro Light" w:eastAsia="KoPubWorld바탕체_Pro Light" w:cs="KoPubWorld바탕체_Pro Light"/>
          <w:sz w:val="16"/>
        </w:rPr>
        <w:t>그렇다고 모건을 악당이나 영웅 한쪽으로만 그릴 수 없다. 그의 개입은 공황을 완화했지만 금융권력의 집중을 드러냈다. 민간구제가 성공했기 때문에 오히려 ‘왜 공공기관이 해야 할 일을 한 개인이 하는가’라는 정치적 질문이 커졌다.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공황이 실물경제로 번지는 길</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1907년 공황은 월스트리트의 며칠짜리 소동에 그치지 않았다. 연방준비제도 역사자료는 이를 20세기 최초의 세계적 금융위기이자 심각한 경기수축을 촉발한 사건으로 평가한다.</w:t>
      </w:r>
      <w:r>
        <w:rPr>
          <w:rFonts w:ascii="KoPubWorld바탕체_Pro Light" w:hAnsi="KoPubWorld바탕체_Pro Light" w:eastAsia="KoPubWorld바탕체_Pro Light" w:cs="KoPubWorld바탕체_Pro Light"/>
          <w:sz w:val="14"/>
          <w:vertAlign w:val="superscript"/>
        </w:rPr>
        <w:t>39</w:t>
      </w:r>
      <w:r>
        <w:rPr>
          <w:rFonts w:ascii="KoPubWorld바탕체_Pro Light" w:hAnsi="KoPubWorld바탕체_Pro Light" w:eastAsia="KoPubWorld바탕체_Pro Light" w:cs="KoPubWorld바탕체_Pro Light"/>
          <w:sz w:val="16"/>
        </w:rPr>
        <w:t xml:space="preserve"> 은행이 현금을 지키려고 대출을 회수하면 건전한 기업도 운전자금을 잃는다. 증권가격 하락은 담보가치를 낮추고 추가대출 회수를 부른다.</w:t>
      </w:r>
    </w:p>
    <w:p>
      <w:pPr>
        <w:pStyle w:val="aff3"/>
        <w:spacing w:line="259" w:lineRule="auto"/>
      </w:pPr>
      <w:r>
        <w:rPr>
          <w:rFonts w:ascii="KoPubWorld바탕체_Pro Light" w:hAnsi="KoPubWorld바탕체_Pro Light" w:eastAsia="KoPubWorld바탕체_Pro Light" w:cs="KoPubWorld바탕체_Pro Light"/>
          <w:sz w:val="16"/>
        </w:rPr>
        <w:t>청산소증서와 지급제한은 은행 사이의 현금을 아껴 시스템을 보존하지만, 고객은 예금을 자유롭게 쓰지 못한다. 지역으로 현금이 전달되지 않으면 임금과 상품거래가 막힌다. 위기대응은 은행을 살리는 문제와 결제의 연속성을 지키는 문제를 함께 다뤄야 했다.</w:t>
      </w:r>
    </w:p>
    <w:p>
      <w:pPr>
        <w:pStyle w:val="aff3"/>
        <w:spacing w:line="259" w:lineRule="auto"/>
      </w:pPr>
      <w:r>
        <w:rPr>
          <w:rFonts w:ascii="KoPubWorld바탕체_Pro Light" w:hAnsi="KoPubWorld바탕체_Pro Light" w:eastAsia="KoPubWorld바탕체_Pro Light" w:cs="KoPubWorld바탕체_Pro Light"/>
          <w:sz w:val="16"/>
        </w:rPr>
        <w:t>공황의 국제성도 중요했다. 금본위 아래 자금이 국경을 오가고 런던과 뉴욕의 금리와 증권시장이 연결되었다. 미국이 금을 끌어오면 다른 시장의 유동성에 영향을 준다. 중앙은행이 없는 미국의 계절적 자금수요와 공황은 세계 금융중심에도 충격을 보낼 수 있었다.</w:t>
      </w:r>
    </w:p>
    <w:p>
      <w:pPr>
        <w:pStyle w:val="aff3"/>
        <w:spacing w:line="259" w:lineRule="auto"/>
      </w:pPr>
      <w:r>
        <w:rPr>
          <w:rFonts w:ascii="KoPubWorld바탕체_Pro Light" w:hAnsi="KoPubWorld바탕체_Pro Light" w:eastAsia="KoPubWorld바탕체_Pro Light" w:cs="KoPubWorld바탕체_Pro Light"/>
          <w:sz w:val="16"/>
        </w:rPr>
        <w:t>위기 뒤 ‘통화의 비탄력성’이 주요 원인으로 지목되었다. 농산물 이동기와 공황 때 현금수요가 늘어도 국채담보 은행권은 빠르게 확대되지 않았다. 그러나 통화를 더 탄력적으로 만드는 것만으로 신탁회사의 자산위험과 이해상충이 해결되는 것은 아니다. 개혁은 유동성 공급과 감독을 함께 설계해야 했다.</w:t>
      </w:r>
    </w:p>
    <w:p>
      <w:pPr>
        <w:pStyle w:val="aff3"/>
        <w:spacing w:line="259" w:lineRule="auto"/>
      </w:pPr>
      <w:r>
        <w:rPr>
          <w:rFonts w:ascii="KoPubWorld바탕체_Pro Light" w:hAnsi="KoPubWorld바탕체_Pro Light" w:eastAsia="KoPubWorld바탕체_Pro Light" w:cs="KoPubWorld바탕체_Pro Light"/>
          <w:sz w:val="16"/>
        </w:rPr>
        <w:t>위기 원인을 하나로 정하면 해법도 좁아진다. 통화량만 보면 긴급발행이 답이고, 투기만 보면 증권거래 금지가 답이며, 신탁회사만 보면 준비금 인상이 답이다. 실제 공황은 자산가격·결제·정보·기관경계가 만난 결과였다. 1913년 법은 이 가운데 준비금과 통화공급을 주로 다뤘고 다른 과제는 뒤의 법들에 남겼다.</w:t>
      </w:r>
      <w:r>
        <w:rPr>
          <w:rFonts w:ascii="KoPubWorld바탕체_Pro Light" w:hAnsi="KoPubWorld바탕체_Pro Light" w:eastAsia="KoPubWorld바탕체_Pro Light" w:cs="KoPubWorld바탕체_Pro Light"/>
          <w:sz w:val="14"/>
          <w:vertAlign w:val="superscript"/>
        </w:rPr>
        <w:t>40</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1908년의 임시다리</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의회는 1908년 5월 30일 Aldrich–Vreeland Act를 통과시켰다. 법은 위기 때 은행이 더 넓은 담보를 바탕으로 긴급통화를 발행할 길을 마련하고, 18명으로 구성된 National Monetary Commission을 설치했다.</w:t>
      </w:r>
      <w:r>
        <w:rPr>
          <w:rFonts w:ascii="KoPubWorld바탕체_Pro Light" w:hAnsi="KoPubWorld바탕체_Pro Light" w:eastAsia="KoPubWorld바탕체_Pro Light" w:cs="KoPubWorld바탕체_Pro Light"/>
          <w:sz w:val="14"/>
          <w:vertAlign w:val="superscript"/>
        </w:rPr>
        <w:t>41</w:t>
      </w:r>
      <w:r>
        <w:rPr>
          <w:rFonts w:ascii="KoPubWorld바탕체_Pro Light" w:hAnsi="KoPubWorld바탕체_Pro Light" w:eastAsia="KoPubWorld바탕체_Pro Light" w:cs="KoPubWorld바탕체_Pro Light"/>
          <w:sz w:val="16"/>
        </w:rPr>
        <w:t xml:space="preserve"> 당장의 유동성 문제를 위한 임시다리와 장기개혁을 위한 조사기구를 함께 만든 것이다.</w:t>
      </w:r>
    </w:p>
    <w:p>
      <w:pPr>
        <w:pStyle w:val="aff3"/>
        <w:spacing w:line="259" w:lineRule="auto"/>
      </w:pPr>
      <w:r>
        <w:rPr>
          <w:rFonts w:ascii="KoPubWorld바탕체_Pro Light" w:hAnsi="KoPubWorld바탕체_Pro Light" w:eastAsia="KoPubWorld바탕체_Pro Light" w:cs="KoPubWorld바탕체_Pro Light"/>
          <w:sz w:val="16"/>
        </w:rPr>
        <w:t>넬슨 올드리치 상원의원이 이끈 위원회는 유럽의 중앙은행과 금융제도를 조사했다. 독일 출신 은행가 폴 워버그 등은 미국의 분산된 준비금과 계절적 금리변동을 비판하며 중앙의 준비금 조직을 주장했다. 1910년 지킬섬의 비공개 회의에서 은행가와 정책가들이 National Reserve Association 구상을 다듬었다.</w:t>
      </w:r>
      <w:r>
        <w:rPr>
          <w:rFonts w:ascii="KoPubWorld바탕체_Pro Light" w:hAnsi="KoPubWorld바탕체_Pro Light" w:eastAsia="KoPubWorld바탕체_Pro Light" w:cs="KoPubWorld바탕체_Pro Light"/>
          <w:sz w:val="14"/>
          <w:vertAlign w:val="superscript"/>
        </w:rPr>
        <w:t>42</w:t>
      </w:r>
    </w:p>
    <w:p>
      <w:pPr>
        <w:pStyle w:val="aff3"/>
        <w:spacing w:line="259" w:lineRule="auto"/>
      </w:pPr>
      <w:r>
        <w:rPr>
          <w:rFonts w:ascii="KoPubWorld바탕체_Pro Light" w:hAnsi="KoPubWorld바탕체_Pro Light" w:eastAsia="KoPubWorld바탕체_Pro Light" w:cs="KoPubWorld바탕체_Pro Light"/>
          <w:sz w:val="16"/>
        </w:rPr>
        <w:t>비밀회의는 훗날 음모론의 좋은 재료가 되었다. 실제로 주요 금융인의 영향은 컸고 공개적 민주절차가 아니었다. 그러나 연방준비제도가 그대로 그 회의의 복사본은 아니다. 올드리치안은 중앙집중적이고 은행가의 영향이 크다는 정치적 반대에 부딪혔고, 이후 민주당과 우드로 윌슨 행정부가 공적 통제를 더한 다른 절충을 만들었다.</w:t>
      </w:r>
      <w:r>
        <w:rPr>
          <w:rFonts w:ascii="KoPubWorld바탕체_Pro Light" w:hAnsi="KoPubWorld바탕체_Pro Light" w:eastAsia="KoPubWorld바탕체_Pro Light" w:cs="KoPubWorld바탕체_Pro Light"/>
          <w:sz w:val="14"/>
          <w:vertAlign w:val="superscript"/>
        </w:rPr>
        <w:t>41</w:t>
      </w:r>
    </w:p>
    <w:p>
      <w:pPr>
        <w:pStyle w:val="aff3"/>
        <w:spacing w:line="259" w:lineRule="auto"/>
      </w:pPr>
      <w:r>
        <w:rPr>
          <w:rFonts w:ascii="KoPubWorld바탕체_Pro Light" w:hAnsi="KoPubWorld바탕체_Pro Light" w:eastAsia="KoPubWorld바탕체_Pro Light" w:cs="KoPubWorld바탕체_Pro Light"/>
          <w:sz w:val="16"/>
        </w:rPr>
        <w:t>위원회의 비교조사는 제도수입의 한계도 보여 주었다. 영국과 독일의 중앙은행을 그대로 복사하기에는 미국의 영토와 은행 수, 연방주의와 중앙은행 반감이 달랐다. 외국의 성공사례는 기능을 알려 주지만 조직의 정당성까지 수입해 주지는 않는다. 지역준비은행이라는 미국식 구조는 이 차이에 대한 정치적 답이었다.</w:t>
      </w:r>
    </w:p>
    <w:p>
      <w:pPr>
        <w:pStyle w:val="aff3"/>
        <w:spacing w:line="259" w:lineRule="auto"/>
      </w:pPr>
      <w:r>
        <w:rPr>
          <w:rFonts w:ascii="KoPubWorld바탕체_Pro Light" w:hAnsi="KoPubWorld바탕체_Pro Light" w:eastAsia="KoPubWorld바탕체_Pro Light" w:cs="KoPubWorld바탕체_Pro Light"/>
          <w:sz w:val="16"/>
        </w:rPr>
        <w:t>개혁논쟁의 중심에는 지역이 있었다. 농업지역은 뉴욕 은행가가 신용을 지배할 것을 두려워했고, 동부 금융가는 정치인이 통화를 남발할 것을 두려워했다. 중앙은행을 하나 세우자는 말은 어느 도시와 계층이 돈의 수도가 될지를 정하는 말처럼 들렸다.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1913년의 분산된 중앙은행</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우드로 윌슨 대통령은 1913년 12월 23일 Federal Reserve Act에 서명했다.</w:t>
      </w:r>
      <w:r>
        <w:rPr>
          <w:rFonts w:ascii="KoPubWorld바탕체_Pro Light" w:hAnsi="KoPubWorld바탕체_Pro Light" w:eastAsia="KoPubWorld바탕체_Pro Light" w:cs="KoPubWorld바탕체_Pro Light"/>
          <w:sz w:val="14"/>
          <w:vertAlign w:val="superscript"/>
        </w:rPr>
        <w:t>40</w:t>
      </w:r>
      <w:r>
        <w:rPr>
          <w:rFonts w:ascii="KoPubWorld바탕체_Pro Light" w:hAnsi="KoPubWorld바탕체_Pro Light" w:eastAsia="KoPubWorld바탕체_Pro Light" w:cs="KoPubWorld바탕체_Pro Light"/>
          <w:sz w:val="16"/>
        </w:rPr>
        <w:t xml:space="preserve"> 법은 워싱턴의 연방준비위원회와 여러 지역 연방준비은행을 결합했다. 중앙의 공적 감독과 지역의 운영, 회원은행의 자본참여를 섞은 ‘분산된 중앙은행’이었다.</w:t>
      </w:r>
      <w:r>
        <w:rPr>
          <w:rFonts w:ascii="KoPubWorld바탕체_Pro Light" w:hAnsi="KoPubWorld바탕체_Pro Light" w:eastAsia="KoPubWorld바탕체_Pro Light" w:cs="KoPubWorld바탕체_Pro Light"/>
          <w:sz w:val="14"/>
          <w:vertAlign w:val="superscript"/>
        </w:rPr>
        <w:t>43</w:t>
      </w:r>
    </w:p>
    <w:p>
      <w:pPr>
        <w:pStyle w:val="aff3"/>
        <w:spacing w:line="259" w:lineRule="auto"/>
      </w:pPr>
      <w:r>
        <w:rPr>
          <w:rFonts w:ascii="KoPubWorld바탕체_Pro Light" w:hAnsi="KoPubWorld바탕체_Pro Light" w:eastAsia="KoPubWorld바탕체_Pro Light" w:cs="KoPubWorld바탕체_Pro Light"/>
          <w:sz w:val="16"/>
        </w:rPr>
        <w:t>연방준비은행은 회원은행의 적격 상업어음을 재할인하고 준비금을 보유하며, 탄력적인 연방준비권 공급을 맡았다. 개별 은행이 뉴욕의 거래은행에 쌓아 두던 준비금 일부를 지역 준비은행으로 모아 위기 때 사용할 수 있게 했다. 마지막 현금을 민간 청산소와 한 은행가의 판단에만 맡기지 않으려는 설계였다.</w:t>
      </w:r>
    </w:p>
    <w:p>
      <w:pPr>
        <w:pStyle w:val="aff3"/>
        <w:spacing w:line="259" w:lineRule="auto"/>
      </w:pPr>
      <w:r>
        <w:rPr>
          <w:rFonts w:ascii="KoPubWorld바탕체_Pro Light" w:hAnsi="KoPubWorld바탕체_Pro Light" w:eastAsia="KoPubWorld바탕체_Pro Light" w:cs="KoPubWorld바탕체_Pro Light"/>
          <w:sz w:val="16"/>
        </w:rPr>
        <w:t>구조는 타협의 흔적이었다. 순수한 정부부처라면 정치적 통화팽창을 우려했고, 순수한 은행가 협회라면 사적 카르텔을 우려했다. 지역은행은 뉴욕 집중을 견제하고, 중앙위원회는 지역의 분절을 묶었다. 공공과 민간 어느 한쪽의 승리라기보다 서로를 불신한 세력이 만든 복합기관이었다.</w:t>
      </w:r>
    </w:p>
    <w:p>
      <w:pPr>
        <w:pStyle w:val="aff3"/>
        <w:spacing w:line="259" w:lineRule="auto"/>
      </w:pPr>
      <w:r>
        <w:rPr>
          <w:rFonts w:ascii="KoPubWorld바탕체_Pro Light" w:hAnsi="KoPubWorld바탕체_Pro Light" w:eastAsia="KoPubWorld바탕체_Pro Light" w:cs="KoPubWorld바탕체_Pro Light"/>
          <w:sz w:val="16"/>
        </w:rPr>
        <w:t>타협은 모호성도 남겼다. 지역준비은행과 워싱턴 위원회 중 누가 위기판단을 주도하는지, 재무부와의 관계는 어떠한지, 회원은행 밖 기관에 책임이 있는지가 완전히 정리되지 않았다. 분산은 정당성을 높였지만 위기 때 행동의 통일성을 어렵게 할 수 있었다.</w:t>
      </w:r>
    </w:p>
    <w:p>
      <w:pPr>
        <w:pStyle w:val="aff3"/>
        <w:spacing w:line="259" w:lineRule="auto"/>
      </w:pPr>
      <w:r>
        <w:rPr>
          <w:rFonts w:ascii="KoPubWorld바탕체_Pro Light" w:hAnsi="KoPubWorld바탕체_Pro Light" w:eastAsia="KoPubWorld바탕체_Pro Light" w:cs="KoPubWorld바탕체_Pro Light"/>
          <w:sz w:val="16"/>
        </w:rPr>
        <w:t>연준 창설이 모든 문제를 해결한 것은 아니다. 어떤 자산을 할인할지에 대한 ‘실물어음’ 관념은 금융시장의 변화를 충분히 담지 못했고, 감독권은 여러 연방·주 기관에 나뉘었다. 무엇보다 1930년대 은행공황에서 연준은 최종대부자 역할을 충분히 하지 못했다.</w:t>
      </w:r>
      <w:r>
        <w:rPr>
          <w:rFonts w:ascii="KoPubWorld바탕체_Pro Light" w:hAnsi="KoPubWorld바탕체_Pro Light" w:eastAsia="KoPubWorld바탕체_Pro Light" w:cs="KoPubWorld바탕체_Pro Light"/>
          <w:sz w:val="14"/>
          <w:vertAlign w:val="superscript"/>
        </w:rPr>
        <w:t>44</w:t>
      </w:r>
      <w:r>
        <w:rPr>
          <w:rFonts w:ascii="KoPubWorld바탕체_Pro Light" w:hAnsi="KoPubWorld바탕체_Pro Light" w:eastAsia="KoPubWorld바탕체_Pro Light" w:cs="KoPubWorld바탕체_Pro Light"/>
          <w:sz w:val="16"/>
        </w:rPr>
        <w:t xml:space="preserve"> 기관의 존재와 올바른 행동은 다른 문제다.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영웅을 제도로 바꾸는 일</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1907년의 교훈을 ‘모건이 시장을 구했다’로 끝내면 제도개혁의 이유가 사라진다. 반대로 ‘은행가의 음모로 연준이 생겼다’고 끝내면 농업지역, 진보주의자, 재무부와 의회의 오랜 논쟁이 사라진다. 연준은 민간구제의 능력과 위험을 모두 본 뒤 만들어진 정치적 타협이었다.</w:t>
      </w:r>
      <w:r>
        <w:rPr>
          <w:rFonts w:ascii="KoPubWorld바탕체_Pro Light" w:hAnsi="KoPubWorld바탕체_Pro Light" w:eastAsia="KoPubWorld바탕체_Pro Light" w:cs="KoPubWorld바탕체_Pro Light"/>
          <w:sz w:val="14"/>
          <w:vertAlign w:val="superscript"/>
        </w:rPr>
        <w:t>41</w:t>
      </w:r>
    </w:p>
    <w:p>
      <w:pPr>
        <w:pStyle w:val="aff3"/>
        <w:spacing w:line="259" w:lineRule="auto"/>
      </w:pPr>
      <w:r>
        <w:rPr>
          <w:rFonts w:ascii="KoPubWorld바탕체_Pro Light" w:hAnsi="KoPubWorld바탕체_Pro Light" w:eastAsia="KoPubWorld바탕체_Pro Light" w:cs="KoPubWorld바탕체_Pro Light"/>
          <w:sz w:val="16"/>
        </w:rPr>
        <w:t>민간 네트워크는 정보를 빨리 모으고 동료를 규율할 수 있다. 공공기관은 더 큰 대차대조표와 법적 권한, 사회 전체에 대한 책임을 가진다. 어느 쪽도 혼자 충분하지 않다. 연준의 지역은행과 중앙위원회 구조는 두 장점을 결합하려 했지만 이해상충도 함께 제도 안에 들였다.</w:t>
      </w:r>
    </w:p>
    <w:p>
      <w:pPr>
        <w:pStyle w:val="aff3"/>
        <w:spacing w:line="259" w:lineRule="auto"/>
      </w:pPr>
      <w:r>
        <w:rPr>
          <w:rFonts w:ascii="KoPubWorld바탕체_Pro Light" w:hAnsi="KoPubWorld바탕체_Pro Light" w:eastAsia="KoPubWorld바탕체_Pro Light" w:cs="KoPubWorld바탕체_Pro Light"/>
          <w:sz w:val="16"/>
        </w:rPr>
        <w:t>공황은 종종 ‘더 많은 돈’이 필요하다는 신호처럼 보인다. 그러나 누구에게 어떤 담보로 공급할지, 손실이 나면 누가 부담할지, 지원받는 기관을 평소에 어떻게 감독할지 정하지 않으면 유동성은 특혜가 된다. 1908년 긴급통화와 1913년 연준은 돈을 만들 권한과 규율을 한 체계에 묶으려 한 시도였다.</w:t>
      </w:r>
      <w:r>
        <w:rPr>
          <w:rFonts w:ascii="KoPubWorld바탕체_Pro Light" w:hAnsi="KoPubWorld바탕체_Pro Light" w:eastAsia="KoPubWorld바탕체_Pro Light" w:cs="KoPubWorld바탕체_Pro Light"/>
          <w:sz w:val="14"/>
          <w:vertAlign w:val="superscript"/>
        </w:rPr>
        <w:t>41</w:t>
      </w:r>
      <w:r>
        <w:rPr>
          <w:rFonts w:ascii="KoPubWorld바탕체_Pro Light" w:hAnsi="KoPubWorld바탕체_Pro Light" w:eastAsia="KoPubWorld바탕체_Pro Light" w:cs="KoPubWorld바탕체_Pro Light"/>
          <w:sz w:val="14"/>
          <w:vertAlign w:val="superscript"/>
        </w:rPr>
        <w:t>40</w:t>
      </w:r>
    </w:p>
    <w:p>
      <w:pPr>
        <w:pStyle w:val="aff3"/>
        <w:spacing w:line="259" w:lineRule="auto"/>
      </w:pPr>
      <w:r>
        <w:rPr>
          <w:rFonts w:ascii="KoPubWorld바탕체_Pro Light" w:hAnsi="KoPubWorld바탕체_Pro Light" w:eastAsia="KoPubWorld바탕체_Pro Light" w:cs="KoPubWorld바탕체_Pro Light"/>
          <w:sz w:val="16"/>
        </w:rPr>
        <w:t>1907년 뉴욕의 마지막 대부자는 노년의 은행가였다.</w:t>
      </w:r>
      <w:r>
        <w:rPr>
          <w:rFonts w:ascii="KoPubWorld바탕체_Pro Light" w:hAnsi="KoPubWorld바탕체_Pro Light" w:eastAsia="KoPubWorld바탕체_Pro Light" w:cs="KoPubWorld바탕체_Pro Light"/>
          <w:sz w:val="14"/>
          <w:vertAlign w:val="superscript"/>
        </w:rPr>
        <w:t>39</w:t>
      </w:r>
      <w:r>
        <w:rPr>
          <w:rFonts w:ascii="KoPubWorld바탕체_Pro Light" w:hAnsi="KoPubWorld바탕체_Pro Light" w:eastAsia="KoPubWorld바탕체_Pro Light" w:cs="KoPubWorld바탕체_Pro Light"/>
          <w:sz w:val="16"/>
        </w:rPr>
        <w:t xml:space="preserve"> 1913년 의회는 그 역할을 법과 기관으로 바꾸었다.</w:t>
      </w:r>
      <w:r>
        <w:rPr>
          <w:rFonts w:ascii="KoPubWorld바탕체_Pro Light" w:hAnsi="KoPubWorld바탕체_Pro Light" w:eastAsia="KoPubWorld바탕체_Pro Light" w:cs="KoPubWorld바탕체_Pro Light"/>
          <w:sz w:val="14"/>
          <w:vertAlign w:val="superscript"/>
        </w:rPr>
        <w:t>40</w:t>
      </w:r>
      <w:r>
        <w:rPr>
          <w:rFonts w:ascii="KoPubWorld바탕체_Pro Light" w:hAnsi="KoPubWorld바탕체_Pro Light" w:eastAsia="KoPubWorld바탕체_Pro Light" w:cs="KoPubWorld바탕체_Pro Light"/>
          <w:sz w:val="16"/>
        </w:rPr>
        <w:t xml:space="preserve"> 그러나 영웅을 제도로 바꾸는 것만으로 제도가 현명해지지는 않는다. 규칙을 해석할 사람, 지역과 중앙의 권한, 위기를 알아보는 지식과 행동할 용기가 필요하다. 다음 대공황에서 미국은 중앙은행을 가지고도 수천 개 은행의 붕괴를 막지 못한다.</w:t>
      </w:r>
      <w:r>
        <w:rPr>
          <w:rFonts w:ascii="KoPubWorld바탕체_Pro Light" w:hAnsi="KoPubWorld바탕체_Pro Light" w:eastAsia="KoPubWorld바탕체_Pro Light" w:cs="KoPubWorld바탕체_Pro Light"/>
          <w:sz w:val="14"/>
          <w:vertAlign w:val="superscript"/>
        </w:rPr>
        <w:t>44</w:t>
      </w:r>
      <w:r>
        <w:rPr>
          <w:rFonts w:ascii="KoPubWorld바탕체_Pro Light" w:hAnsi="KoPubWorld바탕체_Pro Light" w:eastAsia="KoPubWorld바탕체_Pro Light" w:cs="KoPubWorld바탕체_Pro Light"/>
          <w:sz w:val="16"/>
        </w:rPr>
        <w:t xml:space="preserve"> 1907년이 보여 준 것은 기관의 필요성이었고, 1930년대가 보여 줄 것은 기관의 실패 가능성이었다.</w:t>
      </w:r>
    </w:p>
    <w:p>
      <w:pPr>
        <w:pStyle w:val="aff2"/>
        <w:pageBreakBefore/>
        <w:spacing w:before="440"/>
        <w:jc w:val="center"/>
      </w:pPr>
      <w:r>
        <w:rPr>
          <w:rFonts w:ascii="KoPubWorld바탕체_Pro Bold" w:hAnsi="KoPubWorld바탕체_Pro Bold" w:eastAsia="KoPubWorld바탕체_Pro Bold" w:cs="KoPubWorld바탕체_Pro Bold"/>
          <w:b/>
          <w:sz w:val="24"/>
        </w:rPr>
        <w:t>Chapter. 11</w:t>
      </w:r>
    </w:p>
    <w:p>
      <w:pPr>
        <w:pStyle w:val="aff1"/>
        <w:jc w:val="center"/>
      </w:pPr>
      <w:r>
        <w:rPr>
          <w:rFonts w:ascii="KoPubWorld바탕체_Pro Bold" w:hAnsi="KoPubWorld바탕체_Pro Bold" w:eastAsia="KoPubWorld바탕체_Pro Bold" w:cs="KoPubWorld바탕체_Pro Bold"/>
          <w:b/>
          <w:sz w:val="28"/>
        </w:rPr>
        <w:t>주가 폭락보다 더 깊은 붕괴 — 1929년과 은행공황</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1929년 10월 뉴욕증권거래소 밖에는 사람들이 모였다. 전광판의 가격은 주문을 따라가지 못했고, 전화선 너머의 투자자는 자신이 얼마에 팔았는지 알지 못했다. 은행가들은 큰 주식을 공개적으로 사들이며 신뢰를 되돌리려 했지만 매도는 멈추지 않았다.</w:t>
      </w:r>
      <w:r>
        <w:rPr>
          <w:rFonts w:ascii="KoPubWorld바탕체_Pro Light" w:hAnsi="KoPubWorld바탕체_Pro Light" w:eastAsia="KoPubWorld바탕체_Pro Light" w:cs="KoPubWorld바탕체_Pro Light"/>
          <w:sz w:val="14"/>
          <w:vertAlign w:val="superscript"/>
        </w:rPr>
        <w:t>45</w:t>
      </w:r>
      <w:r>
        <w:rPr>
          <w:rFonts w:ascii="KoPubWorld바탕체_Pro Light" w:hAnsi="KoPubWorld바탕체_Pro Light" w:eastAsia="KoPubWorld바탕체_Pro Light" w:cs="KoPubWorld바탕체_Pro Light"/>
          <w:sz w:val="16"/>
        </w:rPr>
        <w:t xml:space="preserve"> 사진과 신문의 머리기사는 이 며칠을 대공황의 시작으로 기억하게 했다.</w:t>
      </w:r>
    </w:p>
    <w:p>
      <w:pPr>
        <w:pStyle w:val="aff3"/>
        <w:spacing w:line="259" w:lineRule="auto"/>
      </w:pPr>
      <w:r>
        <w:rPr>
          <w:rFonts w:ascii="KoPubWorld바탕체_Pro Light" w:hAnsi="KoPubWorld바탕체_Pro Light" w:eastAsia="KoPubWorld바탕체_Pro Light" w:cs="KoPubWorld바탕체_Pro Light"/>
          <w:sz w:val="16"/>
        </w:rPr>
        <w:t>그러나 주가폭락과 대공황은 같은 사건이 아니다. 미국 경제의 수축은 1929년 8월 이미 시작되었고, 주식시장 붕괴 뒤에도 1930년 가을에는 회복 기대가 있었다. 지역 은행공황과 통화수축, 국제 금본위의 압력, 부채디플레이션이 이어지면서 평범한 침체가 역사적 재난으로 바뀌었다.</w:t>
      </w:r>
      <w:r>
        <w:rPr>
          <w:rFonts w:ascii="KoPubWorld바탕체_Pro Light" w:hAnsi="KoPubWorld바탕체_Pro Light" w:eastAsia="KoPubWorld바탕체_Pro Light" w:cs="KoPubWorld바탕체_Pro Light"/>
          <w:sz w:val="14"/>
          <w:vertAlign w:val="superscript"/>
        </w:rPr>
        <w:t>44</w:t>
      </w:r>
      <w:r>
        <w:rPr>
          <w:rFonts w:ascii="KoPubWorld바탕체_Pro Light" w:hAnsi="KoPubWorld바탕체_Pro Light" w:eastAsia="KoPubWorld바탕체_Pro Light" w:cs="KoPubWorld바탕체_Pro Light"/>
          <w:sz w:val="16"/>
        </w:rPr>
        <w:t xml:space="preserve"> 주가 그래프만 보면 은행 장부에서 일어난 더 깊은 붕괴가 가려진다.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1929년의 열기와 마진대출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1920년대 미국은 자동차와 전기, 라디오 같은 산업의 성장과 생산성 향상을 경험했다. 주식시장은 새로운 시대의 이익을 가격에 반영한다고 여겨졌다. 투자자는 자기 돈 전부를 내지 않고 증권을 담보로 차입해 주식을 살 수 있었다.</w:t>
      </w:r>
      <w:r>
        <w:rPr>
          <w:rFonts w:ascii="KoPubWorld바탕체_Pro Light" w:hAnsi="KoPubWorld바탕체_Pro Light" w:eastAsia="KoPubWorld바탕체_Pro Light" w:cs="KoPubWorld바탕체_Pro Light"/>
          <w:sz w:val="14"/>
          <w:vertAlign w:val="superscript"/>
        </w:rPr>
        <w:t>45</w:t>
      </w:r>
      <w:r>
        <w:rPr>
          <w:rFonts w:ascii="KoPubWorld바탕체_Pro Light" w:hAnsi="KoPubWorld바탕체_Pro Light" w:eastAsia="KoPubWorld바탕체_Pro Light" w:cs="KoPubWorld바탕체_Pro Light"/>
          <w:sz w:val="16"/>
        </w:rPr>
        <w:t xml:space="preserve"> 가격이 오르면 적은 자기자본으로 큰 수익을 얻지만, 가격이 떨어지면 추가담보 요구와 강제매도가 손실을 키운다.</w:t>
      </w:r>
    </w:p>
    <w:p>
      <w:pPr>
        <w:pStyle w:val="aff3"/>
        <w:spacing w:line="259" w:lineRule="auto"/>
      </w:pPr>
      <w:r>
        <w:rPr>
          <w:rFonts w:ascii="KoPubWorld바탕체_Pro Light" w:hAnsi="KoPubWorld바탕체_Pro Light" w:eastAsia="KoPubWorld바탕체_Pro Light" w:cs="KoPubWorld바탕체_Pro Light"/>
          <w:sz w:val="16"/>
        </w:rPr>
        <w:t>은행과 증권계열사, 브로커의 콜머니 시장이 주식신용을 연결했다. 연방준비제도 내부에서는 투기적 신용을 금리로 억제할지, 은행에 직접 압력을 가할지 논쟁이 있었다. 금리를 올리면 투기를 줄일 수 있지만 생산적 대출과 경제 전체도 둔화한다. 특정 용도의 신용만 통제하려는 ‘직접 압력’은 금융이 다른 경로를 찾으면 효과가 약해진다.</w:t>
      </w:r>
      <w:r>
        <w:rPr>
          <w:rFonts w:ascii="KoPubWorld바탕체_Pro Light" w:hAnsi="KoPubWorld바탕체_Pro Light" w:eastAsia="KoPubWorld바탕체_Pro Light" w:cs="KoPubWorld바탕체_Pro Light"/>
          <w:sz w:val="14"/>
          <w:vertAlign w:val="superscript"/>
        </w:rPr>
        <w:t>45</w:t>
      </w:r>
    </w:p>
    <w:p>
      <w:pPr>
        <w:pStyle w:val="aff3"/>
        <w:spacing w:line="259" w:lineRule="auto"/>
      </w:pPr>
      <w:r>
        <w:rPr>
          <w:rFonts w:ascii="KoPubWorld바탕체_Pro Light" w:hAnsi="KoPubWorld바탕체_Pro Light" w:eastAsia="KoPubWorld바탕체_Pro Light" w:cs="KoPubWorld바탕체_Pro Light"/>
          <w:sz w:val="16"/>
        </w:rPr>
        <w:t>1929년 9월부터 가격변동이 커졌고 10월 매도가 폭발했다. 주요 은행가가 주식을 매수해 심리를 안정시키려 했으나 성공하지 못했다.</w:t>
      </w:r>
      <w:r>
        <w:rPr>
          <w:rFonts w:ascii="KoPubWorld바탕체_Pro Light" w:hAnsi="KoPubWorld바탕체_Pro Light" w:eastAsia="KoPubWorld바탕체_Pro Light" w:cs="KoPubWorld바탕체_Pro Light"/>
          <w:sz w:val="14"/>
          <w:vertAlign w:val="superscript"/>
        </w:rPr>
        <w:t>45</w:t>
      </w:r>
      <w:r>
        <w:rPr>
          <w:rFonts w:ascii="KoPubWorld바탕체_Pro Light" w:hAnsi="KoPubWorld바탕체_Pro Light" w:eastAsia="KoPubWorld바탕체_Pro Light" w:cs="KoPubWorld바탕체_Pro Light"/>
          <w:sz w:val="16"/>
        </w:rPr>
        <w:t xml:space="preserve"> 레버리지 투자자는 담보가치 하락으로 팔 수밖에 없었고, 매도는 다시 가격을 낮췄다. 낙관의 자기강화가 손실의 자기강화로 뒤집혔다.</w:t>
      </w:r>
    </w:p>
    <w:p>
      <w:pPr>
        <w:pStyle w:val="aff3"/>
        <w:spacing w:line="259" w:lineRule="auto"/>
      </w:pPr>
      <w:r>
        <w:rPr>
          <w:rFonts w:ascii="KoPubWorld바탕체_Pro Light" w:hAnsi="KoPubWorld바탕체_Pro Light" w:eastAsia="KoPubWorld바탕체_Pro Light" w:cs="KoPubWorld바탕체_Pro Light"/>
          <w:sz w:val="16"/>
        </w:rPr>
        <w:t>그럼에도 상업은행의 핵심 결제기능은 당장 붕괴하지 않았다. 뉴욕연방준비은행은 공개시장매입과 할인대출로 준비금 압력을 완화했고, 증권시장에서 빠져나온 자금 일부는 은행예금으로 들어왔다. 연준 역사자료는 주식시장은 무너졌지만 폭락의 중심에 있던 상업은행들이 계속 영업했다고 설명한다.</w:t>
      </w:r>
      <w:r>
        <w:rPr>
          <w:rFonts w:ascii="KoPubWorld바탕체_Pro Light" w:hAnsi="KoPubWorld바탕체_Pro Light" w:eastAsia="KoPubWorld바탕체_Pro Light" w:cs="KoPubWorld바탕체_Pro Light"/>
          <w:sz w:val="14"/>
          <w:vertAlign w:val="superscript"/>
        </w:rPr>
        <w:t>45</w:t>
      </w:r>
      <w:r>
        <w:rPr>
          <w:rFonts w:ascii="KoPubWorld바탕체_Pro Light" w:hAnsi="KoPubWorld바탕체_Pro Light" w:eastAsia="KoPubWorld바탕체_Pro Light" w:cs="KoPubWorld바탕체_Pro Light"/>
          <w:sz w:val="16"/>
        </w:rPr>
        <w:t xml:space="preserve"> 1907년의 교훈이 단기적으로는 작동한 셈이다.</w:t>
      </w:r>
    </w:p>
    <w:p>
      <w:pPr>
        <w:pStyle w:val="aff3"/>
        <w:spacing w:line="259" w:lineRule="auto"/>
      </w:pPr>
      <w:r>
        <w:rPr>
          <w:rFonts w:ascii="KoPubWorld바탕체_Pro Light" w:hAnsi="KoPubWorld바탕체_Pro Light" w:eastAsia="KoPubWorld바탕체_Pro Light" w:cs="KoPubWorld바탕체_Pro Light"/>
          <w:sz w:val="16"/>
        </w:rPr>
        <w:t>주가하락은 부의 감소와 기업자금조달 위축, 심리악화를 통해 실물경제에 타격을 준다. 그러나 모든 주가폭락이 은행공황과 장기불황으로 이어지는 것은 아니다. 결제와 예금이 안전하고 신용이 유지되면 자산가격 조정은 고통스럽더라도 경제전체의 화폐를 파괴하지 않을 수 있다.</w:t>
      </w:r>
    </w:p>
    <w:p>
      <w:pPr>
        <w:pStyle w:val="aff3"/>
        <w:spacing w:line="259" w:lineRule="auto"/>
      </w:pPr>
      <w:r>
        <w:rPr>
          <w:rFonts w:ascii="KoPubWorld바탕체_Pro Light" w:hAnsi="KoPubWorld바탕체_Pro Light" w:eastAsia="KoPubWorld바탕체_Pro Light" w:cs="KoPubWorld바탕체_Pro Light"/>
          <w:sz w:val="16"/>
        </w:rPr>
        <w:t>은행공황은 다른 경로를 갖는다. 예금자가 현금을 찾으면 은행의 부채인 예금이 줄고, 은행은 현금을 마련하려 대출을 회수하거나 자산을 판다. 여러 은행이 동시에 행동하면 통화와 신용이 축소되고 자산가격이 더 떨어진다. 기업은 매출이 아니라 은행의 방어 때문에 대출을 잃을 수 있다.</w:t>
      </w:r>
    </w:p>
    <w:p>
      <w:pPr>
        <w:pStyle w:val="aff3"/>
        <w:spacing w:line="259" w:lineRule="auto"/>
      </w:pPr>
      <w:r>
        <w:rPr>
          <w:rFonts w:ascii="KoPubWorld바탕체_Pro Light" w:hAnsi="KoPubWorld바탕체_Pro Light" w:eastAsia="KoPubWorld바탕체_Pro Light" w:cs="KoPubWorld바탕체_Pro Light"/>
          <w:sz w:val="16"/>
        </w:rPr>
        <w:t>이 구별은 규제의 대상을 바꾼다. 주식투기를 원인으로만 보면 증거금과 증권공시가 주된 해법이다. 은행공황을 보면 예금보험, 최종대부, 준비금 공급과 부실은행 정리가 중요해진다. 대공황 개혁이 여러 법과 기관으로 나뉜 이유는 위기가 하나의 시장에서 끝나지 않았기 때문이다.</w:t>
      </w:r>
    </w:p>
    <w:p>
      <w:pPr>
        <w:pStyle w:val="aff3"/>
        <w:spacing w:line="259" w:lineRule="auto"/>
      </w:pPr>
      <w:r>
        <w:rPr>
          <w:rFonts w:ascii="KoPubWorld바탕체_Pro Light" w:hAnsi="KoPubWorld바탕체_Pro Light" w:eastAsia="KoPubWorld바탕체_Pro Light" w:cs="KoPubWorld바탕체_Pro Light"/>
          <w:sz w:val="16"/>
        </w:rPr>
        <w:t>또한 폭락의 도덕극은 과도한 낙관에 책임을 묻기 쉽다. 그러나 은행폐쇄로 저축을 잃은 예금자는 주식투기에 참여하지 않았을 수 있다. 위기의 손실이 위험을 선택한 사람과 선택하지 않은 사람 사이에서 어떻게 번지는지를 보아야 금융규제의 필요가 드러난다.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1930년, 지역의 실패가 전국의 공포로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1930년 11월 테네시의 Caldwell 계열 금융기관들이 무너지면서 correspondent 관계로 연결된 은행들이 잇따라 영업을 중단했다. 공포는 켄터키·아칸소·노스캐롤라이나 등으로 번졌고, 11월 256개, 12월 352개의 은행이 영업을 중단했다.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6"/>
        </w:rPr>
        <w:t xml:space="preserve"> 지역의 금융그룹 실패가 예금자의 정보부족과 결합한 사건이었다.</w:t>
      </w:r>
    </w:p>
    <w:p>
      <w:pPr>
        <w:pStyle w:val="aff3"/>
        <w:spacing w:line="259" w:lineRule="auto"/>
      </w:pPr>
      <w:r>
        <w:rPr>
          <w:rFonts w:ascii="KoPubWorld바탕체_Pro Light" w:hAnsi="KoPubWorld바탕체_Pro Light" w:eastAsia="KoPubWorld바탕체_Pro Light" w:cs="KoPubWorld바탕체_Pro Light"/>
          <w:sz w:val="16"/>
        </w:rPr>
        <w:t>12월 11일 뉴욕의 Bank of United States가 문을 닫았다. 이름과 달리 연방정부 은행이 아니라 민간 상업은행이었다. 당시 약 2억 달러의 예금을 가진 미국 최대 규모의 은행실패였고, 합병을 통한 구제협상은 무산되었다.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6"/>
        </w:rPr>
        <w:t xml:space="preserve"> 일부 연구자는 공황이 건전한 은행을 쓰러뜨렸다고 보고, 다른 연구자는 이미 지급불능이었다고 본다. 이 논쟁은 유동성 지원과 정리 가운데 어느 처방이 맞았는지를 바꾼다.</w:t>
      </w:r>
    </w:p>
    <w:p>
      <w:pPr>
        <w:pStyle w:val="aff3"/>
        <w:spacing w:line="259" w:lineRule="auto"/>
      </w:pPr>
      <w:r>
        <w:rPr>
          <w:rFonts w:ascii="KoPubWorld바탕체_Pro Light" w:hAnsi="KoPubWorld바탕체_Pro Light" w:eastAsia="KoPubWorld바탕체_Pro Light" w:cs="KoPubWorld바탕체_Pro Light"/>
          <w:sz w:val="16"/>
        </w:rPr>
        <w:t>은행 하나가 닫히면 그 지역의 정보도 사라졌다. 지역은행은 어느 농가와 기업이 신뢰할 만한지 알고 있었고, 관계가 끊기면 다른 은행이 대출을 즉시 대신하기 어려웠다. 은행실패는 돈의 양뿐 아니라 차입자에 관한 정보자본을 파괴했다. 벤 버냉키가 강조한 신용중개 경로는 통화수축만으로 설명되지 않는 장기피해를 보여 준다.</w:t>
      </w:r>
      <w:r>
        <w:rPr>
          <w:rFonts w:ascii="KoPubWorld바탕체_Pro Light" w:hAnsi="KoPubWorld바탕체_Pro Light" w:eastAsia="KoPubWorld바탕체_Pro Light" w:cs="KoPubWorld바탕체_Pro Light"/>
          <w:sz w:val="14"/>
          <w:vertAlign w:val="superscript"/>
        </w:rPr>
        <w:t>47</w:t>
      </w:r>
    </w:p>
    <w:p>
      <w:pPr>
        <w:pStyle w:val="aff3"/>
        <w:spacing w:line="259" w:lineRule="auto"/>
      </w:pPr>
      <w:r>
        <w:rPr>
          <w:rFonts w:ascii="KoPubWorld바탕체_Pro Light" w:hAnsi="KoPubWorld바탕체_Pro Light" w:eastAsia="KoPubWorld바탕체_Pro Light" w:cs="KoPubWorld바탕체_Pro Light"/>
          <w:sz w:val="16"/>
        </w:rPr>
        <w:t>1930년 한 해 약 1,350개 은행이 영업을 중단했다.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6"/>
        </w:rPr>
        <w:t xml:space="preserve"> 모든 폐쇄가 순수한 공황 때문은 아니었다. 1920년대 농업침체와 작은 단일점포은행의 취약성, 부실대출이 누적되어 있었다. 공황은 건전성과 유동성 문제를 한꺼번에 드러냈다.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현금 퇴장과 디플레이션의 고리</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예금자는 은행 대신 현금을 보유했고, 살아남은 은행은 준비금을 쌓았다. 화폐기초가 그대로여도 현금이 금고 밖으로 빠지고 은행이 대출을 줄이면 예금통화는 감소한다. 상품가격이 떨어지면 같은 명목부채의 실질부담은 커지고, 채무자는 소비와 투자를 더 줄인다. 채무불이행이 늘어 은행손실이 다시 커진다.</w:t>
      </w:r>
      <w:r>
        <w:rPr>
          <w:rFonts w:ascii="KoPubWorld바탕체_Pro Light" w:hAnsi="KoPubWorld바탕체_Pro Light" w:eastAsia="KoPubWorld바탕체_Pro Light" w:cs="KoPubWorld바탕체_Pro Light"/>
          <w:sz w:val="14"/>
          <w:vertAlign w:val="superscript"/>
        </w:rPr>
        <w:t>47</w:t>
      </w:r>
    </w:p>
    <w:p>
      <w:pPr>
        <w:pStyle w:val="aff3"/>
        <w:spacing w:line="259" w:lineRule="auto"/>
      </w:pPr>
      <w:r>
        <w:rPr>
          <w:rFonts w:ascii="KoPubWorld바탕체_Pro Light" w:hAnsi="KoPubWorld바탕체_Pro Light" w:eastAsia="KoPubWorld바탕체_Pro Light" w:cs="KoPubWorld바탕체_Pro Light"/>
          <w:sz w:val="16"/>
        </w:rPr>
        <w:t>가격하락은 좋은 물건이 싸지는 일처럼 보이지만 부채경제에서는 파괴적일 수 있다. 기업의 매출과 담보가치는 내려가도 원금은 그대로다. 임금과 비용을 즉시 낮추기 어렵고, 파산과 실업이 늘어난다. 중앙은행이 물가의 하락을 수동적으로 받아들이면 실질금리는 높아지고 긴축이 강화된다.</w:t>
      </w:r>
    </w:p>
    <w:p>
      <w:pPr>
        <w:pStyle w:val="aff3"/>
        <w:spacing w:line="259" w:lineRule="auto"/>
      </w:pPr>
      <w:r>
        <w:rPr>
          <w:rFonts w:ascii="KoPubWorld바탕체_Pro Light" w:hAnsi="KoPubWorld바탕체_Pro Light" w:eastAsia="KoPubWorld바탕체_Pro Light" w:cs="KoPubWorld바탕체_Pro Light"/>
          <w:sz w:val="16"/>
        </w:rPr>
        <w:t>밀턴 프리드먼과 애나 슈워츠는 연준이 통화공급 붕괴를 막지 못한 것이 대공황을 심화시켰다고 강조했다. 다른 해석은 은행의 지급불능, 실물수요의 붕괴, 국제 금본위와 정책불확실성에 더 무게를 둔다. 두 관점은 완전히 배타적이지 않다. 부실은행의 실패가 화폐와 신용을 줄이고, 수축한 경제가 다시 은행을 부실하게 만들 수 있다.</w:t>
      </w:r>
      <w:r>
        <w:rPr>
          <w:rFonts w:ascii="KoPubWorld바탕체_Pro Light" w:hAnsi="KoPubWorld바탕체_Pro Light" w:eastAsia="KoPubWorld바탕체_Pro Light" w:cs="KoPubWorld바탕체_Pro Light"/>
          <w:sz w:val="14"/>
          <w:vertAlign w:val="superscript"/>
        </w:rPr>
        <w:t>44</w:t>
      </w:r>
    </w:p>
    <w:p>
      <w:pPr>
        <w:pStyle w:val="aff3"/>
        <w:spacing w:line="259" w:lineRule="auto"/>
      </w:pPr>
      <w:r>
        <w:rPr>
          <w:rFonts w:ascii="KoPubWorld바탕체_Pro Light" w:hAnsi="KoPubWorld바탕체_Pro Light" w:eastAsia="KoPubWorld바탕체_Pro Light" w:cs="KoPubWorld바탕체_Pro Light"/>
          <w:sz w:val="16"/>
        </w:rPr>
        <w:t>원인 논쟁은 책임 논쟁이기도 하다. 중앙은행이 더 적극적으로 국채를 사고 대출했으면 막을 수 있었는가. 나쁜 자산을 가진 은행까지 살렸을 것인가. 당대 정보로 건전한 은행과 부실은행을 구별할 수 있었는가. 결과를 아는 후대의 시선은 정책 선택의 불확실성을 쉽게 지운다.</w:t>
      </w:r>
    </w:p>
    <w:p>
      <w:pPr>
        <w:pStyle w:val="aff3"/>
        <w:spacing w:line="259" w:lineRule="auto"/>
      </w:pPr>
      <w:r>
        <w:rPr>
          <w:rFonts w:ascii="KoPubWorld바탕체_Pro Light" w:hAnsi="KoPubWorld바탕체_Pro Light" w:eastAsia="KoPubWorld바탕체_Pro Light" w:cs="KoPubWorld바탕체_Pro Light"/>
          <w:sz w:val="16"/>
        </w:rPr>
        <w:t>또 통화량과 신용은 같지 않다. 중앙은행이 준비금을 공급해도 은행이 차입자를 신뢰하지 못하면 대출은 늘지 않을 수 있다. 반대로 은행의 관계정보가 사라지면 다른 금융기관이 같은 준비금으로 그 빈자리를 바로 채우지 못한다. 위기대응은 돈의 총량뿐 아니라 신용중개망의 복구를 봐야 한다.</w:t>
      </w:r>
    </w:p>
    <w:p>
      <w:pPr>
        <w:pStyle w:val="aff3"/>
        <w:spacing w:line="259" w:lineRule="auto"/>
      </w:pPr>
      <w:r>
        <w:rPr>
          <w:rFonts w:ascii="KoPubWorld바탕체_Pro Light" w:hAnsi="KoPubWorld바탕체_Pro Light" w:eastAsia="KoPubWorld바탕체_Pro Light" w:cs="KoPubWorld바탕체_Pro Light"/>
          <w:sz w:val="16"/>
        </w:rPr>
        <w:t>채무자의 관점도 중요하다. 물가가 내려갈수록 빚의 실질가치가 오르는 상황에서는 건전했던 대출도 부실해진다. 은행의 ‘나쁜 자산’이 무모한 심사 때문인지 거시경제 붕괴 때문인지 선명히 나누기 어렵다. 감독과 거시정책을 별개로 다룰 수 없는 이유다.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금본위가 국내 공황을 국제위기로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1931년 9월 영국이 금본위를 떠나자 달러도 금태환을 중단할 것이라는 우려가 커졌다. 외국 보유자는 달러자산을 금으로 바꾸었고, 미국 은행의 예금자는 동시에 현금을 찾았다. 외부의 금 유출과 내부의 현금 유출이 겹쳤다.</w:t>
      </w:r>
      <w:r>
        <w:rPr>
          <w:rFonts w:ascii="KoPubWorld바탕체_Pro Light" w:hAnsi="KoPubWorld바탕체_Pro Light" w:eastAsia="KoPubWorld바탕체_Pro Light" w:cs="KoPubWorld바탕체_Pro Light"/>
          <w:sz w:val="14"/>
          <w:vertAlign w:val="superscript"/>
        </w:rPr>
        <w:t>48</w:t>
      </w:r>
    </w:p>
    <w:p>
      <w:pPr>
        <w:pStyle w:val="aff3"/>
        <w:spacing w:line="259" w:lineRule="auto"/>
      </w:pPr>
      <w:r>
        <w:rPr>
          <w:rFonts w:ascii="KoPubWorld바탕체_Pro Light" w:hAnsi="KoPubWorld바탕체_Pro Light" w:eastAsia="KoPubWorld바탕체_Pro Light" w:cs="KoPubWorld바탕체_Pro Light"/>
          <w:sz w:val="16"/>
        </w:rPr>
        <w:t>연준은 금 준비를 지키기 위해 금리를 올리는 압력을 받았다. 국내 은행에는 더 많은 유동성이 필요했지만 금본위의 신뢰는 긴축을 요구했다. 통화주권이 국제규칙에 묶인 순간이었다. 한 나라가 금을 지키려는 정책은 다른 나라의 금과 신용을 빨아들여 디플레이션을 전파할 수 있었다.</w:t>
      </w:r>
    </w:p>
    <w:p>
      <w:pPr>
        <w:pStyle w:val="aff3"/>
        <w:spacing w:line="259" w:lineRule="auto"/>
      </w:pPr>
      <w:r>
        <w:rPr>
          <w:rFonts w:ascii="KoPubWorld바탕체_Pro Light" w:hAnsi="KoPubWorld바탕체_Pro Light" w:eastAsia="KoPubWorld바탕체_Pro Light" w:cs="KoPubWorld바탕체_Pro Light"/>
          <w:sz w:val="16"/>
        </w:rPr>
        <w:t>연방준비제도의 분산구조도 행동을 어렵게 했다. 지역 준비은행의 상황과 견해가 달랐고, 1933년 초에는 시카고연준이 자신의 준비비율을 우려해 뉴욕연준의 추가지원 요청을 거절하기도 했다. 연준 역사자료는 체계 전체가 공황을 진정시키기보다 공황의 일부가 되었다는 비판을 소개한다.</w:t>
      </w:r>
      <w:r>
        <w:rPr>
          <w:rFonts w:ascii="KoPubWorld바탕체_Pro Light" w:hAnsi="KoPubWorld바탕체_Pro Light" w:eastAsia="KoPubWorld바탕체_Pro Light" w:cs="KoPubWorld바탕체_Pro Light"/>
          <w:sz w:val="14"/>
          <w:vertAlign w:val="superscript"/>
        </w:rPr>
        <w:t>48</w:t>
      </w:r>
    </w:p>
    <w:p>
      <w:pPr>
        <w:pStyle w:val="aff3"/>
        <w:spacing w:line="259" w:lineRule="auto"/>
      </w:pPr>
      <w:r>
        <w:rPr>
          <w:rFonts w:ascii="KoPubWorld바탕체_Pro Light" w:hAnsi="KoPubWorld바탕체_Pro Light" w:eastAsia="KoPubWorld바탕체_Pro Light" w:cs="KoPubWorld바탕체_Pro Light"/>
          <w:sz w:val="16"/>
        </w:rPr>
        <w:t>1932년 Reconstruction Finance Corporation이 은행 등에 자본과 대출을 제공했지만, 지원받은 기관의 이름이 알려질 수 있다는 우려는 이용을 꺼리게 했다. 긴급지원의 낙인 문제가 다시 나타났다. 자금이 있어도 도움을 요청하는 순간 예금자가 더 불안해진다면 창구는 충분히 작동하지 않는다.</w:t>
      </w:r>
      <w:r>
        <w:rPr>
          <w:rFonts w:ascii="KoPubWorld바탕체_Pro Light" w:hAnsi="KoPubWorld바탕체_Pro Light" w:eastAsia="KoPubWorld바탕체_Pro Light" w:cs="KoPubWorld바탕체_Pro Light"/>
          <w:sz w:val="14"/>
          <w:vertAlign w:val="superscript"/>
        </w:rPr>
        <w:t>48</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1933년, 은행문을 모두 닫다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1932년 말과 1933년 초 공황은 전국으로 확산되었다. 주 정부는 인출을 제한하고 은행휴일을 선언했다. 1933년 2월 14일 미시간이 주 전체의 은행휴일을 선포한 뒤 다른 주가 뒤따랐고, 연방수준의 통일된 조치 없이 현금수요가 다른 지역으로 이동했다.</w:t>
      </w:r>
      <w:r>
        <w:rPr>
          <w:rFonts w:ascii="KoPubWorld바탕체_Pro Light" w:hAnsi="KoPubWorld바탕체_Pro Light" w:eastAsia="KoPubWorld바탕체_Pro Light" w:cs="KoPubWorld바탕체_Pro Light"/>
          <w:sz w:val="14"/>
          <w:vertAlign w:val="superscript"/>
        </w:rPr>
        <w:t>46</w:t>
      </w:r>
    </w:p>
    <w:p>
      <w:pPr>
        <w:pStyle w:val="aff3"/>
        <w:spacing w:line="259" w:lineRule="auto"/>
      </w:pPr>
      <w:r>
        <w:rPr>
          <w:rFonts w:ascii="KoPubWorld바탕체_Pro Light" w:hAnsi="KoPubWorld바탕체_Pro Light" w:eastAsia="KoPubWorld바탕체_Pro Light" w:cs="KoPubWorld바탕체_Pro Light"/>
          <w:sz w:val="16"/>
        </w:rPr>
        <w:t>프랭클린 루스벨트가 취임한 3월 4일에는 48개 주가 은행휴일이나 인출제한을 시행한 상태였다. 그는 3월 6일부터 전국의 은행거래를 중단하는 포고를 냈다. 의회는 3월 9일 Emergency Banking Act를 통과시켰고, 심사를 거쳐 건전하다고 판단된 은행부터 지역별로 다시 열었다.</w:t>
      </w:r>
      <w:r>
        <w:rPr>
          <w:rFonts w:ascii="KoPubWorld바탕체_Pro Light" w:hAnsi="KoPubWorld바탕체_Pro Light" w:eastAsia="KoPubWorld바탕체_Pro Light" w:cs="KoPubWorld바탕체_Pro Light"/>
          <w:sz w:val="14"/>
          <w:vertAlign w:val="superscript"/>
        </w:rPr>
        <w:t>49</w:t>
      </w:r>
    </w:p>
    <w:p>
      <w:pPr>
        <w:pStyle w:val="aff3"/>
        <w:spacing w:line="259" w:lineRule="auto"/>
      </w:pPr>
      <w:r>
        <w:rPr>
          <w:rFonts w:ascii="KoPubWorld바탕체_Pro Light" w:hAnsi="KoPubWorld바탕체_Pro Light" w:eastAsia="KoPubWorld바탕체_Pro Light" w:cs="KoPubWorld바탕체_Pro Light"/>
          <w:sz w:val="16"/>
        </w:rPr>
        <w:t>전국 은행휴일은 계약의 대규모 정지였다. 예금자는 자기 돈을 쓸 수 없었고 기업의 결제도 막혔다. 하지만 모두가 동시에 현금을 찾는 경쟁을 멈추고 은행의 상태를 조사할 시간을 주었다.</w:t>
      </w:r>
      <w:r>
        <w:rPr>
          <w:rFonts w:ascii="KoPubWorld바탕체_Pro Light" w:hAnsi="KoPubWorld바탕체_Pro Light" w:eastAsia="KoPubWorld바탕체_Pro Light" w:cs="KoPubWorld바탕체_Pro Light"/>
          <w:sz w:val="14"/>
          <w:vertAlign w:val="superscript"/>
        </w:rPr>
        <w:t>49</w:t>
      </w:r>
      <w:r>
        <w:rPr>
          <w:rFonts w:ascii="KoPubWorld바탕체_Pro Light" w:hAnsi="KoPubWorld바탕체_Pro Light" w:eastAsia="KoPubWorld바탕체_Pro Light" w:cs="KoPubWorld바탕체_Pro Light"/>
          <w:sz w:val="16"/>
        </w:rPr>
        <w:t xml:space="preserve"> 법 48조가 흉년 한 해의 채무지급을 늦췄다면, 1933년 국가는 금융시스템 전체의 지급시계를 잠시 멈춘 셈이다.</w:t>
      </w:r>
      <w:r>
        <w:rPr>
          <w:rFonts w:ascii="KoPubWorld바탕체_Pro Light" w:hAnsi="KoPubWorld바탕체_Pro Light" w:eastAsia="KoPubWorld바탕체_Pro Light" w:cs="KoPubWorld바탕체_Pro Light"/>
          <w:sz w:val="14"/>
          <w:vertAlign w:val="superscript"/>
        </w:rPr>
        <w:t>4</w:t>
      </w:r>
    </w:p>
    <w:p>
      <w:pPr>
        <w:pStyle w:val="aff3"/>
        <w:spacing w:line="259" w:lineRule="auto"/>
      </w:pPr>
      <w:r>
        <w:rPr>
          <w:rFonts w:ascii="KoPubWorld바탕체_Pro Light" w:hAnsi="KoPubWorld바탕체_Pro Light" w:eastAsia="KoPubWorld바탕체_Pro Light" w:cs="KoPubWorld바탕체_Pro Light"/>
          <w:sz w:val="16"/>
        </w:rPr>
        <w:t>루스벨트는 3월 12일 라디오 연설로 은행이 어떻게 심사되고 열리는지 설명했다.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6"/>
        </w:rPr>
        <w:t xml:space="preserve"> 위기대응은 자금만의 문제가 아니었다. 정부가 무엇을 하고 왜 하는지 시민이 믿어야 현금이 은행으로 돌아온다. 신뢰는 정보와 일관된 행동에서 생겼다.</w:t>
      </w:r>
    </w:p>
    <w:p>
      <w:pPr>
        <w:pStyle w:val="aff3"/>
        <w:spacing w:line="259" w:lineRule="auto"/>
      </w:pPr>
      <w:r>
        <w:rPr>
          <w:rFonts w:ascii="KoPubWorld바탕체_Pro Light" w:hAnsi="KoPubWorld바탕체_Pro Light" w:eastAsia="KoPubWorld바탕체_Pro Light" w:cs="KoPubWorld바탕체_Pro Light"/>
          <w:sz w:val="16"/>
        </w:rPr>
        <w:t>은행을 순서대로 다시 여는 과정은 공적 인증의 효과를 가졌다. 허가를 받은 은행에는 예금이 돌아왔지만, 열리지 못한 은행의 채권자와 지역은 손실을 떠안았다. 심사는 신뢰를 회복했지만 정부가 생존자를 고르는 권한도 키웠다. 기준의 정확성과 이의제기 절차가 중요했다.</w:t>
      </w:r>
    </w:p>
    <w:p>
      <w:pPr>
        <w:pStyle w:val="aff3"/>
        <w:spacing w:line="259" w:lineRule="auto"/>
      </w:pPr>
      <w:r>
        <w:rPr>
          <w:rFonts w:ascii="KoPubWorld바탕체_Pro Light" w:hAnsi="KoPubWorld바탕체_Pro Light" w:eastAsia="KoPubWorld바탕체_Pro Light" w:cs="KoPubWorld바탕체_Pro Light"/>
          <w:sz w:val="16"/>
        </w:rPr>
        <w:t>휴일이 성공했다고 해서 모든 지급정지를 좋은 정책으로 볼 수는 없다. 짧고 전국적으로 통일되며, 검사와 재개방 계획이 있을 때만 시간을 사는 장치가 된다. 끝이 불명확한 동결은 현금경제와 비공식 거래를 키우고 정부신뢰를 해칠 수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중앙은행이 있어도 실패할 수 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연준은 1907년 민간구제의 한계를 극복하려 만들어졌다. 그런데 1930년대에는 충분한 최종대부와 통화확대를 제공하지 못했다. 기관이 없어서가 아니라 권한의 해석, 조직의 분산, 금본위의 제약, 부실은행 구제에 대한 두려움과 잘못된 경제관이 행동을 막았다.</w:t>
      </w:r>
      <w:r>
        <w:rPr>
          <w:rFonts w:ascii="KoPubWorld바탕체_Pro Light" w:hAnsi="KoPubWorld바탕체_Pro Light" w:eastAsia="KoPubWorld바탕체_Pro Light" w:cs="KoPubWorld바탕체_Pro Light"/>
          <w:sz w:val="14"/>
          <w:vertAlign w:val="superscript"/>
        </w:rPr>
        <w:t>44</w:t>
      </w:r>
    </w:p>
    <w:p>
      <w:pPr>
        <w:pStyle w:val="aff3"/>
        <w:spacing w:line="259" w:lineRule="auto"/>
      </w:pPr>
      <w:r>
        <w:rPr>
          <w:rFonts w:ascii="KoPubWorld바탕체_Pro Light" w:hAnsi="KoPubWorld바탕체_Pro Light" w:eastAsia="KoPubWorld바탕체_Pro Light" w:cs="KoPubWorld바탕체_Pro Light"/>
          <w:sz w:val="16"/>
        </w:rPr>
        <w:t>이 실패를 연준 한 기관에만 돌리는 것도 부족하다. 수천 개의 작은 은행, 취약한 농업경제, 주와 연방의 분절된 감독, 예금보험 부재, 국제채무와 금본위가 함께 작동했다. 그러나 중앙은행이 시스템 전체의 유동성을 책임질 수 있는 유일한 기관이었다는 점에서 실패의 무게는 크다.</w:t>
      </w:r>
    </w:p>
    <w:p>
      <w:pPr>
        <w:pStyle w:val="aff3"/>
        <w:spacing w:line="259" w:lineRule="auto"/>
      </w:pPr>
      <w:r>
        <w:rPr>
          <w:rFonts w:ascii="KoPubWorld바탕체_Pro Light" w:hAnsi="KoPubWorld바탕체_Pro Light" w:eastAsia="KoPubWorld바탕체_Pro Light" w:cs="KoPubWorld바탕체_Pro Light"/>
          <w:sz w:val="16"/>
        </w:rPr>
        <w:t>1929년 주가폭락은 보이는 사건이었다. 1930년 이후의 은행공황은 마을과 장부에서 흩어져 일어났고, 통화와 정보가 사라지며 경제를 더 깊게 무너뜨렸다.</w:t>
      </w:r>
      <w:r>
        <w:rPr>
          <w:rFonts w:ascii="KoPubWorld바탕체_Pro Light" w:hAnsi="KoPubWorld바탕체_Pro Light" w:eastAsia="KoPubWorld바탕체_Pro Light" w:cs="KoPubWorld바탕체_Pro Light"/>
          <w:sz w:val="14"/>
          <w:vertAlign w:val="superscript"/>
        </w:rPr>
        <w:t>47</w:t>
      </w:r>
      <w:r>
        <w:rPr>
          <w:rFonts w:ascii="KoPubWorld바탕체_Pro Light" w:hAnsi="KoPubWorld바탕체_Pro Light" w:eastAsia="KoPubWorld바탕체_Pro Light" w:cs="KoPubWorld바탕체_Pro Light"/>
          <w:sz w:val="16"/>
        </w:rPr>
        <w:t xml:space="preserve"> 따라서 대공황을 ‘주식투기의 벌’로 읽으면 잘못된 규제를 선택하게 된다.</w:t>
      </w:r>
    </w:p>
    <w:p>
      <w:pPr>
        <w:pStyle w:val="aff3"/>
        <w:spacing w:line="259" w:lineRule="auto"/>
      </w:pPr>
      <w:r>
        <w:rPr>
          <w:rFonts w:ascii="KoPubWorld바탕체_Pro Light" w:hAnsi="KoPubWorld바탕체_Pro Light" w:eastAsia="KoPubWorld바탕체_Pro Light" w:cs="KoPubWorld바탕체_Pro Light"/>
          <w:sz w:val="16"/>
        </w:rPr>
        <w:t>주가를 올바르게 만드는 법은 없지만, 거짓정보를 줄이고 레버리지를 제한하며 결제와 예금을 보호하는 제도는 만들 수 있다. 1933년 이후 미국은 은행문을 다시 연 데서 멈추지 않았다. 예금보험, 업무분리, 증권공시와 상설 감독기관을 세웠다.</w:t>
      </w:r>
      <w:r>
        <w:rPr>
          <w:rFonts w:ascii="KoPubWorld바탕체_Pro Light" w:hAnsi="KoPubWorld바탕체_Pro Light" w:eastAsia="KoPubWorld바탕체_Pro Light" w:cs="KoPubWorld바탕체_Pro Light"/>
          <w:sz w:val="14"/>
          <w:vertAlign w:val="superscript"/>
        </w:rPr>
        <w:t>50</w:t>
      </w:r>
      <w:r>
        <w:rPr>
          <w:rFonts w:ascii="KoPubWorld바탕체_Pro Light" w:hAnsi="KoPubWorld바탕체_Pro Light" w:eastAsia="KoPubWorld바탕체_Pro Light" w:cs="KoPubWorld바탕체_Pro Light"/>
          <w:sz w:val="16"/>
        </w:rPr>
        <w:t xml:space="preserve"> 대공황의 교훈은 중앙은행 하나의 필요성을 넘어 실패를 흡수할 여러 겹의 장치가 필요하다는 것이었다.</w:t>
      </w:r>
    </w:p>
    <w:p>
      <w:pPr>
        <w:pStyle w:val="aff2"/>
        <w:pageBreakBefore/>
        <w:spacing w:before="440"/>
        <w:jc w:val="center"/>
      </w:pPr>
      <w:r>
        <w:rPr>
          <w:rFonts w:ascii="KoPubWorld바탕체_Pro Bold" w:hAnsi="KoPubWorld바탕체_Pro Bold" w:eastAsia="KoPubWorld바탕체_Pro Bold" w:cs="KoPubWorld바탕체_Pro Bold"/>
          <w:b/>
          <w:sz w:val="24"/>
        </w:rPr>
        <w:t>Chapter. 12</w:t>
      </w:r>
    </w:p>
    <w:p>
      <w:pPr>
        <w:pStyle w:val="aff1"/>
        <w:jc w:val="center"/>
      </w:pPr>
      <w:r>
        <w:rPr>
          <w:rFonts w:ascii="KoPubWorld바탕체_Pro Bold" w:hAnsi="KoPubWorld바탕체_Pro Bold" w:eastAsia="KoPubWorld바탕체_Pro Bold" w:cs="KoPubWorld바탕체_Pro Bold"/>
          <w:b/>
          <w:sz w:val="28"/>
        </w:rPr>
        <w:t>페코라의 질문 — Glass–Steagall, FDIC, SEC</w:t>
      </w:r>
    </w:p>
    <w:p>
      <w:pPr>
        <w:spacing w:before="60" w:after="0"/>
      </w:pPr>
    </w:p>
    <w:p>
      <w:pPr>
        <w:keepNext/>
        <w:jc w:val="center"/>
      </w:pPr>
      <w:r>
        <w:drawing>
          <wp:inline xmlns:a="http://schemas.openxmlformats.org/drawingml/2006/main" xmlns:pic="http://schemas.openxmlformats.org/drawingml/2006/picture">
            <wp:extent cx="3941063" cy="2218026"/>
            <wp:docPr id="6" name="Picture 6" descr="페코라 청문회. 질문과 공개는 대공황 이후 금융규제의 첫 번째 도구가 되었다." title="페코라 청문회. 질문과 공개는 대공황 이후 금융규제의 첫 번째 도구가 되었다."/>
            <wp:cNvGraphicFramePr>
              <a:graphicFrameLocks noChangeAspect="1"/>
            </wp:cNvGraphicFramePr>
            <a:graphic>
              <a:graphicData uri="http://schemas.openxmlformats.org/drawingml/2006/picture">
                <pic:pic>
                  <pic:nvPicPr>
                    <pic:cNvPr id="0" name="ch12_pecora_gray_q86.jpg"/>
                    <pic:cNvPicPr/>
                  </pic:nvPicPr>
                  <pic:blipFill>
                    <a:blip r:embed="rId44"/>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12. 페코라 청문회. 질문과 공개는 대공황 이후 금융규제의 첫 번째 도구가 되었다.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1933년 2월 미국 상원 청문회장. 작은 체구의 변호사 페르디낸드 페코라는 미국에서 가장 유명한 은행가들을 증인석에 앉혔다. 그는 거대한 금융제도를 한 번에 비난하지 않았다. 누가 어떤 주식을 팔았는지, 고객에게 무엇을 알렸는지, 내부자에게 어떤 조건을 주었는지 문서와 숫자로 물었다. 은행가의 명성과 전문성 뒤에 있던 이해상충이 신문 1면의 이야기가 되었다.</w:t>
      </w:r>
      <w:r>
        <w:rPr>
          <w:rFonts w:ascii="KoPubWorld바탕체_Pro Light" w:hAnsi="KoPubWorld바탕체_Pro Light" w:eastAsia="KoPubWorld바탕체_Pro Light" w:cs="KoPubWorld바탕체_Pro Light"/>
          <w:sz w:val="14"/>
          <w:vertAlign w:val="superscript"/>
        </w:rPr>
        <w:t>51</w:t>
      </w:r>
    </w:p>
    <w:p>
      <w:pPr>
        <w:pStyle w:val="aff3"/>
        <w:spacing w:line="259" w:lineRule="auto"/>
      </w:pPr>
      <w:r>
        <w:rPr>
          <w:rFonts w:ascii="KoPubWorld바탕체_Pro Light" w:hAnsi="KoPubWorld바탕체_Pro Light" w:eastAsia="KoPubWorld바탕체_Pro Light" w:cs="KoPubWorld바탕체_Pro Light"/>
          <w:sz w:val="16"/>
        </w:rPr>
        <w:t>이 조사는 공식 명칭으로 ‘Pecora Commission’이 아니라 상원 은행통화위원회의 결의 84·234에 따른 소위원회 조사였다. 1932년 3월 2일 결의가 통과되었고, 페코라는 1933년 초 수석법률고문으로 합류했다. 최종보고서는 1934년 6월 16일 제출되었다.</w:t>
      </w:r>
      <w:r>
        <w:rPr>
          <w:rFonts w:ascii="KoPubWorld바탕체_Pro Light" w:hAnsi="KoPubWorld바탕체_Pro Light" w:eastAsia="KoPubWorld바탕체_Pro Light" w:cs="KoPubWorld바탕체_Pro Light"/>
          <w:sz w:val="14"/>
          <w:vertAlign w:val="superscript"/>
        </w:rPr>
        <w:t>51</w:t>
      </w:r>
      <w:r>
        <w:rPr>
          <w:rFonts w:ascii="KoPubWorld바탕체_Pro Light" w:hAnsi="KoPubWorld바탕체_Pro Light" w:eastAsia="KoPubWorld바탕체_Pro Light" w:cs="KoPubWorld바탕체_Pro Light"/>
          <w:sz w:val="16"/>
        </w:rPr>
        <w:t xml:space="preserve"> 정확한 이름은 중요하다. 한 영웅의 독립위원회가 아니라 의회의 조사권과 정치적 책임 아래 이루어진 작업이었기 때문이다.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질문이 규제가 되는 순간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공황 뒤 대중은 금융가가 위험을 알고도 고객에게 팔았는지, 손실은 사회에 남기면서 이익을 사유화했는지 알고 싶어 했다. 이전 조사에서 은행 경영진은 내부문서 제출을 거부하거나 모호한 답으로 빠져나갔다. 페코라는 소환장과 세부자료, 끈질긴 후속질문을 이용해 추상적 비난을 검증 가능한 사건으로 바꾸었다.</w:t>
      </w:r>
      <w:r>
        <w:rPr>
          <w:rFonts w:ascii="KoPubWorld바탕체_Pro Light" w:hAnsi="KoPubWorld바탕체_Pro Light" w:eastAsia="KoPubWorld바탕체_Pro Light" w:cs="KoPubWorld바탕체_Pro Light"/>
          <w:sz w:val="14"/>
          <w:vertAlign w:val="superscript"/>
        </w:rPr>
        <w:t>51</w:t>
      </w:r>
    </w:p>
    <w:p>
      <w:pPr>
        <w:pStyle w:val="aff3"/>
        <w:spacing w:line="259" w:lineRule="auto"/>
      </w:pPr>
      <w:r>
        <w:rPr>
          <w:rFonts w:ascii="KoPubWorld바탕체_Pro Light" w:hAnsi="KoPubWorld바탕체_Pro Light" w:eastAsia="KoPubWorld바탕체_Pro Light" w:cs="KoPubWorld바탕체_Pro Light"/>
          <w:sz w:val="16"/>
        </w:rPr>
        <w:t>청문회에는 National City Bank의 찰스 미첼과 J. P. Morgan 관계자 등 유명 금융인이 출석했다. 증권계열사의 판매, 내부자와 우대고객의 거래, 경영진 보상과 조세문제가 공개되었다.</w:t>
      </w:r>
      <w:r>
        <w:rPr>
          <w:rFonts w:ascii="KoPubWorld바탕체_Pro Light" w:hAnsi="KoPubWorld바탕체_Pro Light" w:eastAsia="KoPubWorld바탕체_Pro Light" w:cs="KoPubWorld바탕체_Pro Light"/>
          <w:sz w:val="14"/>
          <w:vertAlign w:val="superscript"/>
        </w:rPr>
        <w:t>51</w:t>
      </w:r>
      <w:r>
        <w:rPr>
          <w:rFonts w:ascii="KoPubWorld바탕체_Pro Light" w:hAnsi="KoPubWorld바탕체_Pro Light" w:eastAsia="KoPubWorld바탕체_Pro Light" w:cs="KoPubWorld바탕체_Pro Light"/>
          <w:sz w:val="16"/>
        </w:rPr>
        <w:t xml:space="preserve"> 모든 관행이 당시 법률상 불법은 아니었다. 바로 그 점이 개혁의 동력이었다. 합법이라는 사실과 공정하다는 사실 사이의 간격이 드러났다.</w:t>
      </w:r>
    </w:p>
    <w:p>
      <w:pPr>
        <w:pStyle w:val="aff3"/>
        <w:spacing w:line="259" w:lineRule="auto"/>
      </w:pPr>
      <w:r>
        <w:rPr>
          <w:rFonts w:ascii="KoPubWorld바탕체_Pro Light" w:hAnsi="KoPubWorld바탕체_Pro Light" w:eastAsia="KoPubWorld바탕체_Pro Light" w:cs="KoPubWorld바탕체_Pro Light"/>
          <w:sz w:val="16"/>
        </w:rPr>
        <w:t>페코라 조사의 힘은 법률초안보다 공적 언어를 만든 데 있었다. 복잡한 금융거래를 고객과 내부자의 이해충돌로 번역했고, 손실을 본 시민이 의회에 편지를 보내도록 만들었다. 상원 역사국은 청문회 보도가 전국적으로 이어졌고, 시민들이 증권규제에 찬반 의견을 적극 전달했다고 기록한다.</w:t>
      </w:r>
      <w:r>
        <w:rPr>
          <w:rFonts w:ascii="KoPubWorld바탕체_Pro Light" w:hAnsi="KoPubWorld바탕체_Pro Light" w:eastAsia="KoPubWorld바탕체_Pro Light" w:cs="KoPubWorld바탕체_Pro Light"/>
          <w:sz w:val="14"/>
          <w:vertAlign w:val="superscript"/>
        </w:rPr>
        <w:t>51</w:t>
      </w:r>
    </w:p>
    <w:p>
      <w:pPr>
        <w:pStyle w:val="aff3"/>
        <w:spacing w:line="259" w:lineRule="auto"/>
      </w:pPr>
      <w:r>
        <w:rPr>
          <w:rFonts w:ascii="KoPubWorld바탕체_Pro Light" w:hAnsi="KoPubWorld바탕체_Pro Light" w:eastAsia="KoPubWorld바탕체_Pro Light" w:cs="KoPubWorld바탕체_Pro Light"/>
          <w:sz w:val="16"/>
        </w:rPr>
        <w:t>그러나 청문회의 극적 장면을 곧바로 위기의 완전한 원인으로 보아서는 안 된다. 부도덕한 판매와 내부자 특혜는 개혁할 문제였지만 대공황의 통화수축, 금본위, 농업부실과 은행구조를 모두 설명하지 않는다. 정치적 책임을 묻는 조사와 거시경제 원인분석은 서로 다른 역할을 한다.</w:t>
      </w:r>
    </w:p>
    <w:p>
      <w:pPr>
        <w:pStyle w:val="aff3"/>
        <w:spacing w:line="259" w:lineRule="auto"/>
      </w:pPr>
      <w:r>
        <w:rPr>
          <w:rFonts w:ascii="KoPubWorld바탕체_Pro Light" w:hAnsi="KoPubWorld바탕체_Pro Light" w:eastAsia="KoPubWorld바탕체_Pro Light" w:cs="KoPubWorld바탕체_Pro Light"/>
          <w:sz w:val="16"/>
        </w:rPr>
        <w:t>조사 자체에도 선택의 문제가 있다. 언론의 주목을 받는 유명 은행가와 충격적인 관행이 중심이 되면 평범하지만 더 넓게 퍼진 구조적 취약성이 뒤로 밀릴 수 있다. 효과적인 청문회는 대중의 언어와 전문적 증거를 연결해야 하지만, 드라마가 분석을 대신하지 않도록 해야 한다.</w:t>
      </w:r>
    </w:p>
    <w:p>
      <w:pPr>
        <w:pStyle w:val="aff3"/>
        <w:spacing w:line="259" w:lineRule="auto"/>
      </w:pPr>
      <w:r>
        <w:rPr>
          <w:rFonts w:ascii="KoPubWorld바탕체_Pro Light" w:hAnsi="KoPubWorld바탕체_Pro Light" w:eastAsia="KoPubWorld바탕체_Pro Light" w:cs="KoPubWorld바탕체_Pro Light"/>
          <w:sz w:val="16"/>
        </w:rPr>
        <w:t>또 청문회는 절차적 공정성을 지켜야 한다. 강한 소환권과 공개심문은 숨은 정보를 드러내지만, 형사재판과 다른 정치의 장에서 평판을 먼저 파괴할 수 있다. 공익적 폭로와 당파적 망신주기의 경계도 의회조사의 규제정당성을 좌우한다.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1933년 증권법, 진실을 팔게 하다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Securities Act of 1933은 1933년 5월 27일 제정되어 신규 증권의 공개모집에 등록과 중요정보의 공시, 허위진술에 대한 책임을 두었다.</w:t>
      </w:r>
      <w:r>
        <w:rPr>
          <w:rFonts w:ascii="KoPubWorld바탕체_Pro Light" w:hAnsi="KoPubWorld바탕체_Pro Light" w:eastAsia="KoPubWorld바탕체_Pro Light" w:cs="KoPubWorld바탕체_Pro Light"/>
          <w:sz w:val="14"/>
          <w:vertAlign w:val="superscript"/>
        </w:rPr>
        <w:t>52</w:t>
      </w:r>
      <w:r>
        <w:rPr>
          <w:rFonts w:ascii="KoPubWorld바탕체_Pro Light" w:hAnsi="KoPubWorld바탕체_Pro Light" w:eastAsia="KoPubWorld바탕체_Pro Light" w:cs="KoPubWorld바탕체_Pro Light"/>
          <w:sz w:val="16"/>
        </w:rPr>
        <w:t xml:space="preserve"> 연방정부가 모든 투자의 가격과 사업성을 승인하는 ‘실적심사’보다, 투자자가 판단할 정보를 진실하게 제공하도록 하는 접근이었다.</w:t>
      </w:r>
    </w:p>
    <w:p>
      <w:pPr>
        <w:pStyle w:val="aff3"/>
        <w:spacing w:line="259" w:lineRule="auto"/>
      </w:pPr>
      <w:r>
        <w:rPr>
          <w:rFonts w:ascii="KoPubWorld바탕체_Pro Light" w:hAnsi="KoPubWorld바탕체_Pro Light" w:eastAsia="KoPubWorld바탕체_Pro Light" w:cs="KoPubWorld바탕체_Pro Light"/>
          <w:sz w:val="16"/>
        </w:rPr>
        <w:t>이 원칙은 자유와 책임의 교환이었다. 위험한 사업도 사실을 제대로 밝히면 자금을 모을 수 있다. 정부가 성공할 회사를 고르지 않는 대신 발행인과 인수인, 전문가가 거짓이나 중요한 누락에 책임을 진다. 19세기 회사등록에서 시작된 공시의 논리가 전국 증권시장으로 확대되었다.</w:t>
      </w:r>
    </w:p>
    <w:p>
      <w:pPr>
        <w:pStyle w:val="aff3"/>
        <w:spacing w:line="259" w:lineRule="auto"/>
      </w:pPr>
      <w:r>
        <w:rPr>
          <w:rFonts w:ascii="KoPubWorld바탕체_Pro Light" w:hAnsi="KoPubWorld바탕체_Pro Light" w:eastAsia="KoPubWorld바탕체_Pro Light" w:cs="KoPubWorld바탕체_Pro Light"/>
          <w:sz w:val="16"/>
        </w:rPr>
        <w:t>하지만 투자설명서가 길고 복잡하면 공시는 형식적일 수 있다. 정보가 많다고 소액투자자가 위험을 이해하는 것은 아니다. 전문투자자는 먼저 분석하고, 일반투자자는 판매자의 요약에 의존한다. 공시규제는 정보의 정확성뿐 아니라 전달방식과 중개인의 행위규제까지 필요로 한다.</w:t>
      </w:r>
    </w:p>
    <w:p>
      <w:pPr>
        <w:pStyle w:val="aff3"/>
        <w:spacing w:line="259" w:lineRule="auto"/>
      </w:pPr>
      <w:r>
        <w:rPr>
          <w:rFonts w:ascii="KoPubWorld바탕체_Pro Light" w:hAnsi="KoPubWorld바탕체_Pro Light" w:eastAsia="KoPubWorld바탕체_Pro Light" w:cs="KoPubWorld바탕체_Pro Light"/>
          <w:sz w:val="16"/>
        </w:rPr>
        <w:t>또 사후책임에는 비용과 시간이 든다. 회사가 파산하면 허위진술을 입증해도 회수할 재산이 없을 수 있다. 그래서 등록서류를 검토할 기관, 회계감사, 인수인의 실사와 민사책임이 함께 작동해야 한다. ‘스스로 읽고 판단하라’는 말만으로 정보비대칭이 사라지지 않는다.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Banking Act of 1933, 네 개의 벽</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1933년 6월 16일 제정된 Banking Act of 1933은 흔히 Glass–Steagall Act라 불린다. 그러나 ‘Glass–Steagall’이라는 이름은 1932년의 별도 법률에도 쓰였고, 1933년 법 전체와 상업은행·증권업 분리를 규정한 §§16·20·21·32를 가리키는 용법이 섞여 있다. 따라서 무엇을 뜻하는지 특정해야 한다.</w:t>
      </w:r>
      <w:r>
        <w:rPr>
          <w:rFonts w:ascii="KoPubWorld바탕체_Pro Light" w:hAnsi="KoPubWorld바탕체_Pro Light" w:eastAsia="KoPubWorld바탕체_Pro Light" w:cs="KoPubWorld바탕체_Pro Light"/>
          <w:sz w:val="14"/>
          <w:vertAlign w:val="superscript"/>
        </w:rPr>
        <w:t>50</w:t>
      </w:r>
    </w:p>
    <w:p>
      <w:pPr>
        <w:pStyle w:val="aff3"/>
        <w:spacing w:line="259" w:lineRule="auto"/>
      </w:pPr>
      <w:r>
        <w:rPr>
          <w:rFonts w:ascii="KoPubWorld바탕체_Pro Light" w:hAnsi="KoPubWorld바탕체_Pro Light" w:eastAsia="KoPubWorld바탕체_Pro Light" w:cs="KoPubWorld바탕체_Pro Light"/>
          <w:sz w:val="16"/>
        </w:rPr>
        <w:t>1933년 법의 업무분리 조항은 예금을 받는 상업은행과 증권인수·거래 사이에 벽을 세웠다. 은행이 고객예금과 신용을 이용해 자신이 판매하는 증권의 가격을 떠받치거나 부실증권을 고객에게 넘기는 이해상충을 줄이려는 목적이 있었다. 은행과 증권계열사는 정해진 기간 안에 관계를 정리해야 했다.</w:t>
      </w:r>
      <w:r>
        <w:rPr>
          <w:rFonts w:ascii="KoPubWorld바탕체_Pro Light" w:hAnsi="KoPubWorld바탕체_Pro Light" w:eastAsia="KoPubWorld바탕체_Pro Light" w:cs="KoPubWorld바탕체_Pro Light"/>
          <w:sz w:val="14"/>
          <w:vertAlign w:val="superscript"/>
        </w:rPr>
        <w:t>50</w:t>
      </w:r>
    </w:p>
    <w:p>
      <w:pPr>
        <w:pStyle w:val="aff3"/>
        <w:spacing w:line="259" w:lineRule="auto"/>
      </w:pPr>
      <w:r>
        <w:rPr>
          <w:rFonts w:ascii="KoPubWorld바탕체_Pro Light" w:hAnsi="KoPubWorld바탕체_Pro Light" w:eastAsia="KoPubWorld바탕체_Pro Light" w:cs="KoPubWorld바탕체_Pro Light"/>
          <w:sz w:val="16"/>
        </w:rPr>
        <w:t>찬성자는 지급결제와 예금을 보호받는 은행이 고위험 증권업에 참여하면 공적 안전망이 투기에 보조금을 준다고 본다. 반대자는 상업대출도 위험하고 증권업이 본질적으로 더 위험한 것은 아니며, 분리가 수익원 다각화를 막는다고 본다. 1920년대의 계열사 관행이 은행실패의 주원인이었는지에 대해서도 역사적 논쟁이 있다.</w:t>
      </w:r>
      <w:r>
        <w:rPr>
          <w:rFonts w:ascii="KoPubWorld바탕체_Pro Light" w:hAnsi="KoPubWorld바탕체_Pro Light" w:eastAsia="KoPubWorld바탕체_Pro Light" w:cs="KoPubWorld바탕체_Pro Light"/>
          <w:sz w:val="14"/>
          <w:vertAlign w:val="superscript"/>
        </w:rPr>
        <w:t>50</w:t>
      </w:r>
    </w:p>
    <w:p>
      <w:pPr>
        <w:pStyle w:val="aff3"/>
        <w:spacing w:line="259" w:lineRule="auto"/>
      </w:pPr>
      <w:r>
        <w:rPr>
          <w:rFonts w:ascii="KoPubWorld바탕체_Pro Light" w:hAnsi="KoPubWorld바탕체_Pro Light" w:eastAsia="KoPubWorld바탕체_Pro Light" w:cs="KoPubWorld바탕체_Pro Light"/>
          <w:sz w:val="16"/>
        </w:rPr>
        <w:t>벽은 규칙을 단순하게 만들지만 경계의 정의를 낳는다. 국채와 상업어음, 고객의 주문을 처리하는 일, 증권을 인수해 재판매하는 일 가운데 무엇이 허용되는가. 금융혁신은 벽 바로 옆에 새 상품을 만든다. 업무분리는 이해상충을 줄이는 대신 규제분류와 차익거래의 문제를 키웠다.</w:t>
      </w:r>
    </w:p>
    <w:p>
      <w:pPr>
        <w:pStyle w:val="aff3"/>
        <w:spacing w:line="259" w:lineRule="auto"/>
      </w:pPr>
      <w:r>
        <w:rPr>
          <w:rFonts w:ascii="KoPubWorld바탕체_Pro Light" w:hAnsi="KoPubWorld바탕체_Pro Light" w:eastAsia="KoPubWorld바탕체_Pro Light" w:cs="KoPubWorld바탕체_Pro Light"/>
          <w:sz w:val="16"/>
        </w:rPr>
        <w:t>벽 바깥의 위험도 남았다. 증권회사가 예금을 받지 않더라도 단기차입으로 장기자산을 보유하면 런과 비슷한 위험이 생긴다. 상업은행을 안전하게 만드는 규칙이 금융시스템 전체를 안전하게 하지는 않는다. 업무분리의 성패는 분리된 양쪽에 어떤 자본·유동성·행위규칙을 두는지에 달렸다.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FDIC, 줄을 설 이유를 없애다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Banking Act of 1933의 가장 논쟁적인 장치는 연방예금보험이었다. 임시 보험기금은 1934년 1월 1일 시작했고 기본 보호한도는 2,500달러였다. 재무부와 12개 연방준비은행이 초기자본을 제공하고 가입은행이 부담금을 냈다.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6"/>
        </w:rPr>
        <w:t xml:space="preserve"> 소액예금자는 은행이 실패해도 한도 안에서 돈을 돌려받는다는 약속을 얻었다.</w:t>
      </w:r>
    </w:p>
    <w:p>
      <w:pPr>
        <w:pStyle w:val="aff3"/>
        <w:spacing w:line="259" w:lineRule="auto"/>
      </w:pPr>
      <w:r>
        <w:rPr>
          <w:rFonts w:ascii="KoPubWorld바탕체_Pro Light" w:hAnsi="KoPubWorld바탕체_Pro Light" w:eastAsia="KoPubWorld바탕체_Pro Light" w:cs="KoPubWorld바탕체_Pro Light"/>
          <w:sz w:val="16"/>
        </w:rPr>
        <w:t>예금보험의 즉각적인 효과는 인출경쟁의 동기를 줄이는 것이다. 옆 사람이 먼저 찾더라도 보험이 지급한다면 서둘러 줄을 설 필요가 없다. 최종대부자가 은행에 현금을 공급한다면, 예금보험은 예금자의 기대를 바꾼다. 위기가 시작되기 전에 작동하는 심리적 안전망이다.</w:t>
      </w:r>
    </w:p>
    <w:p>
      <w:pPr>
        <w:pStyle w:val="aff3"/>
        <w:spacing w:line="259" w:lineRule="auto"/>
      </w:pPr>
      <w:r>
        <w:rPr>
          <w:rFonts w:ascii="KoPubWorld바탕체_Pro Light" w:hAnsi="KoPubWorld바탕체_Pro Light" w:eastAsia="KoPubWorld바탕체_Pro Light" w:cs="KoPubWorld바탕체_Pro Light"/>
          <w:sz w:val="16"/>
        </w:rPr>
        <w:t>반대는 강했다. 부실은행의 예금자까지 보호하면 경영자와 예금자가 위험을 감시하지 않고, 건전한 은행이 위험한 은행의 손실을 부담할 수 있다는 우려였다. 대형은행 중심의 전국지점제 개혁을 선호한 카터 글래스도 예금보험에 처음부터 열성적이지 않았다. 작은 은행을 보존하는 정치와 금융안정이 얽혀 있었다.</w:t>
      </w:r>
      <w:r>
        <w:rPr>
          <w:rFonts w:ascii="KoPubWorld바탕체_Pro Light" w:hAnsi="KoPubWorld바탕체_Pro Light" w:eastAsia="KoPubWorld바탕체_Pro Light" w:cs="KoPubWorld바탕체_Pro Light"/>
          <w:sz w:val="14"/>
          <w:vertAlign w:val="superscript"/>
        </w:rPr>
        <w:t>46</w:t>
      </w:r>
    </w:p>
    <w:p>
      <w:pPr>
        <w:pStyle w:val="aff3"/>
        <w:spacing w:line="259" w:lineRule="auto"/>
      </w:pPr>
      <w:r>
        <w:rPr>
          <w:rFonts w:ascii="KoPubWorld바탕체_Pro Light" w:hAnsi="KoPubWorld바탕체_Pro Light" w:eastAsia="KoPubWorld바탕체_Pro Light" w:cs="KoPubWorld바탕체_Pro Light"/>
          <w:sz w:val="16"/>
        </w:rPr>
        <w:t>도덕적 해이는 실제 과제다. 예금자가 금리만 보고 은행을 선택해도 원금을 보호받으면, 은행은 높은 금리로 자금을 모아 더 위험한 대출을 할 수 있다. 보험에는 검사, 자본규제, 시정조치와 실패은행 정리가 따라야 한다. 보험료가 위험을 반영하는지, 경영진과 주주가 먼저 손실을 지는지도 중요하다.</w:t>
      </w:r>
    </w:p>
    <w:p>
      <w:pPr>
        <w:pStyle w:val="aff3"/>
        <w:spacing w:line="259" w:lineRule="auto"/>
      </w:pPr>
      <w:r>
        <w:rPr>
          <w:rFonts w:ascii="KoPubWorld바탕체_Pro Light" w:hAnsi="KoPubWorld바탕체_Pro Light" w:eastAsia="KoPubWorld바탕체_Pro Light" w:cs="KoPubWorld바탕체_Pro Light"/>
          <w:sz w:val="16"/>
        </w:rPr>
        <w:t>보호한도는 정치적·경제적 경계다. 너무 낮으면 예금자가 여전히 달려가고 결제계좌가 흔들리며, 너무 높으면 큰 채권자의 감시까지 사라진다. 가계의 소액저축을 지키는 제도와 모든 은행부채를 보증하는 제도는 다르다. 위기 때 임시로 보호범위를 넓히면 그 조치가 다음 위기의 기대가 될 수 있다.</w:t>
      </w:r>
    </w:p>
    <w:p>
      <w:pPr>
        <w:pStyle w:val="aff3"/>
        <w:spacing w:line="259" w:lineRule="auto"/>
      </w:pPr>
      <w:r>
        <w:rPr>
          <w:rFonts w:ascii="KoPubWorld바탕체_Pro Light" w:hAnsi="KoPubWorld바탕체_Pro Light" w:eastAsia="KoPubWorld바탕체_Pro Light" w:cs="KoPubWorld바탕체_Pro Light"/>
          <w:sz w:val="16"/>
        </w:rPr>
        <w:t>1934년 6월 보호한도는 5,000달러로 높아졌고, Banking Act of 1935는 FDIC를 상설화했다.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6"/>
        </w:rPr>
        <w:t xml:space="preserve"> FDIC는 보험자이면서 주 비회원은행의 안전·건전성을 감독하고 부실은행을 정리하는 역할을 얻었다. 보험과 감독, 정리를 한 기관에 묶은 것은 손실을 줄일 정보와 권한을 보험자에게 주려는 설계였다.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1934년 증권거래법과 SEC</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1933년 법이 새 증권의 발행시장을 주로 다뤘다면, Securities Exchange Act of 1934는 거래소와 유통시장, 브로커·딜러, 상장회사의 지속공시와 시장조작을 다루었다. 루스벨트는 1934년 6월 6일 법에 서명했고 Securities and Exchange Commission이 만들어졌다.</w:t>
      </w:r>
      <w:r>
        <w:rPr>
          <w:rFonts w:ascii="KoPubWorld바탕체_Pro Light" w:hAnsi="KoPubWorld바탕체_Pro Light" w:eastAsia="KoPubWorld바탕체_Pro Light" w:cs="KoPubWorld바탕체_Pro Light"/>
          <w:sz w:val="14"/>
          <w:vertAlign w:val="superscript"/>
        </w:rPr>
        <w:t>53</w:t>
      </w:r>
    </w:p>
    <w:p>
      <w:pPr>
        <w:pStyle w:val="aff3"/>
        <w:spacing w:line="259" w:lineRule="auto"/>
      </w:pPr>
      <w:r>
        <w:rPr>
          <w:rFonts w:ascii="KoPubWorld바탕체_Pro Light" w:hAnsi="KoPubWorld바탕체_Pro Light" w:eastAsia="KoPubWorld바탕체_Pro Light" w:cs="KoPubWorld바탕체_Pro Light"/>
          <w:sz w:val="16"/>
        </w:rPr>
        <w:t>시장은 발행일 다음 날에도 움직인다. 기업의 상태가 바뀌고 내부자는 새 정보를 먼저 안다. 정기보고와 중요정보 공개, 내부자 거래 보고, 거래소와 중개업자의 규율이 필요한 이유다. 공시는 한 번의 입장권이 아니라 계속되는 의무가 되었다.</w:t>
      </w:r>
    </w:p>
    <w:p>
      <w:pPr>
        <w:pStyle w:val="aff3"/>
        <w:spacing w:line="259" w:lineRule="auto"/>
      </w:pPr>
      <w:r>
        <w:rPr>
          <w:rFonts w:ascii="KoPubWorld바탕체_Pro Light" w:hAnsi="KoPubWorld바탕체_Pro Light" w:eastAsia="KoPubWorld바탕체_Pro Light" w:cs="KoPubWorld바탕체_Pro Light"/>
          <w:sz w:val="16"/>
        </w:rPr>
        <w:t>SEC는 정보의 중앙창구와 집행기관을 결합했다. 민사소송만으로는 흩어진 투자자가 거대한 금융기관의 위반을 다투기 어렵다. 전문기관은 보고를 표준화하고 조사와 제재를 수행한다. 그러나 전문성이 규제대상과의 거리까지 자동으로 보장하지는 않는다. 인력과 정보가 업계에 의존하면 포획 위험이 생긴다.</w:t>
      </w:r>
    </w:p>
    <w:p>
      <w:pPr>
        <w:pStyle w:val="aff3"/>
        <w:spacing w:line="259" w:lineRule="auto"/>
      </w:pPr>
      <w:r>
        <w:rPr>
          <w:rFonts w:ascii="KoPubWorld바탕체_Pro Light" w:hAnsi="KoPubWorld바탕체_Pro Light" w:eastAsia="KoPubWorld바탕체_Pro Light" w:cs="KoPubWorld바탕체_Pro Light"/>
          <w:sz w:val="16"/>
        </w:rPr>
        <w:t>독립기관의 정당성은 전문성과 절차에서 나온다. 규칙제정의 근거를 공개하고, 일관되게 집행하며, 법원의 심사를 받아야 한다. 선거에서 한 걸음 떨어진 기관이 시장의 세부를 맡는 대신 설명책임이 더 중요해진다. 규제의 기술화는 정치를 없애지 않고 정치가 이루어지는 장소를 바꾼다.</w:t>
      </w:r>
    </w:p>
    <w:p>
      <w:pPr>
        <w:pStyle w:val="aff3"/>
        <w:spacing w:line="259" w:lineRule="auto"/>
      </w:pPr>
      <w:r>
        <w:rPr>
          <w:rFonts w:ascii="KoPubWorld바탕체_Pro Light" w:hAnsi="KoPubWorld바탕체_Pro Light" w:eastAsia="KoPubWorld바탕체_Pro Light" w:cs="KoPubWorld바탕체_Pro Light"/>
          <w:sz w:val="16"/>
        </w:rPr>
        <w:t>거래소의 자율규제도 사라지지 않았다. 시장운영자가 회원을 감시하고 세부규칙을 집행하되 SEC가 감독하는 층위가 만들어졌다.</w:t>
      </w:r>
      <w:r>
        <w:rPr>
          <w:rFonts w:ascii="KoPubWorld바탕체_Pro Light" w:hAnsi="KoPubWorld바탕체_Pro Light" w:eastAsia="KoPubWorld바탕체_Pro Light" w:cs="KoPubWorld바탕체_Pro Light"/>
          <w:sz w:val="14"/>
          <w:vertAlign w:val="superscript"/>
        </w:rPr>
        <w:t>53</w:t>
      </w:r>
      <w:r>
        <w:rPr>
          <w:rFonts w:ascii="KoPubWorld바탕체_Pro Light" w:hAnsi="KoPubWorld바탕체_Pro Light" w:eastAsia="KoPubWorld바탕체_Pro Light" w:cs="KoPubWorld바탕체_Pro Light"/>
          <w:sz w:val="16"/>
        </w:rPr>
        <w:t xml:space="preserve"> 사적 조직의 속도와 전문성을 사용하면서 공적 책임을 더하는 방식이다. 1907년 청산소의 사적 규율이 공적 감독 안으로 들어온 것과 닮았다.</w:t>
      </w:r>
      <w:r>
        <w:rPr>
          <w:rFonts w:ascii="KoPubWorld바탕체_Pro Light" w:hAnsi="KoPubWorld바탕체_Pro Light" w:eastAsia="KoPubWorld바탕체_Pro Light" w:cs="KoPubWorld바탕체_Pro Light"/>
          <w:sz w:val="14"/>
          <w:vertAlign w:val="superscript"/>
        </w:rPr>
        <w:t>39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 법이 아니라 실패 흡수 장치의 묶음</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뉴딜 금융개혁을 Glass–Steagall 하나로 축약하면 중요한 구조가 사라진다. Emergency Banking Act는 은행을 심사해 다시 여는 위기조치였고, Securities Act는 발행공시를, Banking Act는 예금보험과 업무분리를, Exchange Act는 유통시장과 SEC를 만들었다. Banking Act of 1935는 FDIC를 상설화하고 연준의 권력구조도 바꾸었다.</w:t>
      </w:r>
      <w:r>
        <w:rPr>
          <w:rFonts w:ascii="KoPubWorld바탕체_Pro Light" w:hAnsi="KoPubWorld바탕체_Pro Light" w:eastAsia="KoPubWorld바탕체_Pro Light" w:cs="KoPubWorld바탕체_Pro Light"/>
          <w:sz w:val="14"/>
          <w:vertAlign w:val="superscript"/>
        </w:rPr>
        <w:t>50</w:t>
      </w:r>
    </w:p>
    <w:p>
      <w:pPr>
        <w:pStyle w:val="aff3"/>
        <w:spacing w:line="259" w:lineRule="auto"/>
      </w:pPr>
      <w:r>
        <w:rPr>
          <w:rFonts w:ascii="KoPubWorld바탕체_Pro Light" w:hAnsi="KoPubWorld바탕체_Pro Light" w:eastAsia="KoPubWorld바탕체_Pro Light" w:cs="KoPubWorld바탕체_Pro Light"/>
          <w:sz w:val="16"/>
        </w:rPr>
        <w:t>각 장치는 서로 다른 실패를 흡수했다. 허위정보에는 공시와 책임, 예금런에는 보험, 유동성 부족에는 중앙은행, 이해상충에는 업무분리, 사기와 시장조작에는 SEC, 은행실패에는 정리제도가 대응했다. 어느 하나도 다른 장치를 완전히 대신하지 못한다.</w:t>
      </w:r>
    </w:p>
    <w:p>
      <w:pPr>
        <w:pStyle w:val="aff3"/>
        <w:spacing w:line="259" w:lineRule="auto"/>
      </w:pPr>
      <w:r>
        <w:rPr>
          <w:rFonts w:ascii="KoPubWorld바탕체_Pro Light" w:hAnsi="KoPubWorld바탕체_Pro Light" w:eastAsia="KoPubWorld바탕체_Pro Light" w:cs="KoPubWorld바탕체_Pro Light"/>
          <w:sz w:val="16"/>
        </w:rPr>
        <w:t>개혁의 비용도 있었다. 진입과 업무의 제약은 경쟁을 줄이고, 예금보험은 위험감시를 약하게 하며, 복수기관은 중복과 빈틈을 낳았다. 반대로 1930년대 이후 오랜 기간 은행공황이 크게 줄었다는 사실은 안전망과 감독의 결합이 신뢰를 바꾸었음을 보여 준다.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6"/>
        </w:rPr>
        <w:t xml:space="preserve"> 성공의 원인을 한 조항에만 돌리기는 어렵다.</w:t>
      </w:r>
    </w:p>
    <w:p>
      <w:pPr>
        <w:pStyle w:val="aff3"/>
        <w:spacing w:line="259" w:lineRule="auto"/>
      </w:pPr>
      <w:r>
        <w:rPr>
          <w:rFonts w:ascii="KoPubWorld바탕체_Pro Light" w:hAnsi="KoPubWorld바탕체_Pro Light" w:eastAsia="KoPubWorld바탕체_Pro Light" w:cs="KoPubWorld바탕체_Pro Light"/>
          <w:sz w:val="16"/>
        </w:rPr>
        <w:t>페코라가 남긴 가장 중요한 유산은 분노가 아니라 질문의 형식이었다. 누가 정보를 먼저 알았는가. 고객에게 어떤 이해상충을 숨겼는가. 이익은 누가 얻었고 실패의 손실은 누가 졌는가. 이 질문이 법률의 경계를 정했다. 그러나 청문회가 보여 준 악행만 고치면 위기가 사라지는 것은 아니다.</w:t>
      </w:r>
    </w:p>
    <w:p>
      <w:pPr>
        <w:pStyle w:val="aff3"/>
        <w:spacing w:line="259" w:lineRule="auto"/>
      </w:pPr>
      <w:r>
        <w:rPr>
          <w:rFonts w:ascii="KoPubWorld바탕체_Pro Light" w:hAnsi="KoPubWorld바탕체_Pro Light" w:eastAsia="KoPubWorld바탕체_Pro Light" w:cs="KoPubWorld바탕체_Pro Light"/>
          <w:sz w:val="16"/>
        </w:rPr>
        <w:t>금융국가는 벌을 주는 국가가 아니라 실패를 흡수하는 여러 장치를 운영하는 국가로 바뀌었다. 그 장치가 너무 약하면 공황이 사회를 삼키고, 너무 관대하면 위험이 공적 보증을 먹고 자란다. 1930년대의 법은 이 긴장을 끝내지 않았다. 다만 예금자·투자자·은행·정부 사이의 손실 순서를 전에 없이 명시적으로 다시 썼다.</w:t>
      </w:r>
    </w:p>
    <w:p>
      <w:pPr>
        <w:pStyle w:val="aff2"/>
        <w:pageBreakBefore/>
        <w:spacing w:before="440"/>
        <w:jc w:val="center"/>
      </w:pPr>
      <w:r>
        <w:rPr>
          <w:rFonts w:ascii="KoPubWorld바탕체_Pro Bold" w:hAnsi="KoPubWorld바탕체_Pro Bold" w:eastAsia="KoPubWorld바탕체_Pro Bold" w:cs="KoPubWorld바탕체_Pro Bold"/>
          <w:b/>
          <w:sz w:val="24"/>
        </w:rPr>
        <w:t>Chapter. 13</w:t>
      </w:r>
    </w:p>
    <w:p>
      <w:pPr>
        <w:pStyle w:val="aff1"/>
        <w:jc w:val="center"/>
      </w:pPr>
      <w:r>
        <w:rPr>
          <w:rFonts w:ascii="KoPubWorld바탕체_Pro Bold" w:hAnsi="KoPubWorld바탕체_Pro Bold" w:eastAsia="KoPubWorld바탕체_Pro Bold" w:cs="KoPubWorld바탕체_Pro Bold"/>
          <w:b/>
          <w:sz w:val="28"/>
        </w:rPr>
        <w:t>브레턴우즈의 울타리 — 자본통제와 전후 금융질서</w:t>
      </w:r>
    </w:p>
    <w:p>
      <w:pPr>
        <w:spacing w:before="60" w:after="0"/>
      </w:pPr>
    </w:p>
    <w:p>
      <w:pPr>
        <w:keepNext/>
        <w:jc w:val="center"/>
      </w:pPr>
      <w:r>
        <w:drawing>
          <wp:inline xmlns:a="http://schemas.openxmlformats.org/drawingml/2006/main" xmlns:pic="http://schemas.openxmlformats.org/drawingml/2006/picture">
            <wp:extent cx="3941063" cy="2218026"/>
            <wp:docPr id="7" name="Picture 7" descr="브레턴우즈 회의. 국제금융의 자유는 자본이동의 울타리와 함께 설계되었다." title="브레턴우즈 회의. 국제금융의 자유는 자본이동의 울타리와 함께 설계되었다."/>
            <wp:cNvGraphicFramePr>
              <a:graphicFrameLocks noChangeAspect="1"/>
            </wp:cNvGraphicFramePr>
            <a:graphic>
              <a:graphicData uri="http://schemas.openxmlformats.org/drawingml/2006/picture">
                <pic:pic>
                  <pic:nvPicPr>
                    <pic:cNvPr id="0" name="ch13_bretton_woods_gray_q86.jpg"/>
                    <pic:cNvPicPr/>
                  </pic:nvPicPr>
                  <pic:blipFill>
                    <a:blip r:embed="rId45"/>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13. 브레턴우즈 회의. 국제금융의 자유는 자본이동의 울타리와 함께 설계되었다.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1944년 7월, 전쟁이 아직 끝나지 않은 때였다. 44개국 대표는 미국 뉴햄프셔주의 산악호텔에 모였다. 유럽과 아시아에서는 전투가 계속되었고, 참가자 가운데 어떤 이의 조국은 점령 상태였다. 그런데 회의실 탁자 위에는 전후 환율과 국제대출, 국가가 외환거래를 통제할 권한을 적은 문서가 놓였다. 전쟁 뒤의 평화가 통화질서 없이 오래갈 수 없다는 판단이었다.</w:t>
      </w:r>
      <w:r>
        <w:rPr>
          <w:rFonts w:ascii="KoPubWorld바탕체_Pro Light" w:hAnsi="KoPubWorld바탕체_Pro Light" w:eastAsia="KoPubWorld바탕체_Pro Light" w:cs="KoPubWorld바탕체_Pro Light"/>
          <w:sz w:val="14"/>
          <w:vertAlign w:val="superscript"/>
        </w:rPr>
        <w:t>54</w:t>
      </w:r>
    </w:p>
    <w:p>
      <w:pPr>
        <w:pStyle w:val="aff3"/>
        <w:spacing w:line="259" w:lineRule="auto"/>
      </w:pPr>
      <w:r>
        <w:rPr>
          <w:rFonts w:ascii="KoPubWorld바탕체_Pro Light" w:hAnsi="KoPubWorld바탕체_Pro Light" w:eastAsia="KoPubWorld바탕체_Pro Light" w:cs="KoPubWorld바탕체_Pro Light"/>
          <w:sz w:val="16"/>
        </w:rPr>
        <w:t>브레턴우즈 회의는 1944년 7월 1일부터 22일까지 열렸다. 공식 역사에서는 참가국을 44개국으로 센다. 덴마크 대표의 지위를 포함해 45로 세는 기록도 있지만, 국제통화기금과 연방준비제도의 표준적 서술은 44를 사용한다.</w:t>
      </w:r>
      <w:r>
        <w:rPr>
          <w:rFonts w:ascii="KoPubWorld바탕체_Pro Light" w:hAnsi="KoPubWorld바탕체_Pro Light" w:eastAsia="KoPubWorld바탕체_Pro Light" w:cs="KoPubWorld바탕체_Pro Light"/>
          <w:sz w:val="14"/>
          <w:vertAlign w:val="superscript"/>
        </w:rPr>
        <w:t>54</w:t>
      </w:r>
      <w:r>
        <w:rPr>
          <w:rFonts w:ascii="KoPubWorld바탕체_Pro Light" w:hAnsi="KoPubWorld바탕체_Pro Light" w:eastAsia="KoPubWorld바탕체_Pro Light" w:cs="KoPubWorld바탕체_Pro Light"/>
          <w:sz w:val="14"/>
          <w:vertAlign w:val="superscript"/>
        </w:rPr>
        <w:t>55</w:t>
      </w:r>
      <w:r>
        <w:rPr>
          <w:rFonts w:ascii="KoPubWorld바탕체_Pro Light" w:hAnsi="KoPubWorld바탕체_Pro Light" w:eastAsia="KoPubWorld바탕체_Pro Light" w:cs="KoPubWorld바탕체_Pro Light"/>
          <w:sz w:val="16"/>
        </w:rPr>
        <w:t xml:space="preserve"> 숫자의 차이는 작지만, 제도가 전 세계의 합의였다고 쉽게 말해서는 안 된다는 경고다. 식민지의 상당수는 독립된 목소리로 참가하지 못했다.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1930년대의 기억으로 설계한 질서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대공황기 각국은 금본위의 제약, 은행위기와 실업 속에서 평가절하와 수입제한, 외환통제를 사용했다. 한 나라가 수출을 늘리려고 통화가치를 낮추면 다른 나라가 보복했고, 결제권역은 갈라졌다. 전후 설계자들은 경쟁적 평가절하와 무역축소가 정치적 갈등을 키웠다는 기억을 공유했다.</w:t>
      </w:r>
      <w:r>
        <w:rPr>
          <w:rFonts w:ascii="KoPubWorld바탕체_Pro Light" w:hAnsi="KoPubWorld바탕체_Pro Light" w:eastAsia="KoPubWorld바탕체_Pro Light" w:cs="KoPubWorld바탕체_Pro Light"/>
          <w:sz w:val="14"/>
          <w:vertAlign w:val="superscript"/>
        </w:rPr>
        <w:t>55</w:t>
      </w:r>
    </w:p>
    <w:p>
      <w:pPr>
        <w:pStyle w:val="aff3"/>
        <w:spacing w:line="259" w:lineRule="auto"/>
      </w:pPr>
      <w:r>
        <w:rPr>
          <w:rFonts w:ascii="KoPubWorld바탕체_Pro Light" w:hAnsi="KoPubWorld바탕체_Pro Light" w:eastAsia="KoPubWorld바탕체_Pro Light" w:cs="KoPubWorld바탕체_Pro Light"/>
          <w:sz w:val="16"/>
        </w:rPr>
        <w:t>그러나 19세기 금본위로 그대로 돌아가려 하지도 않았다. 국내 완전고용과 복지, 재건을 위해 정부가 금리와 신용을 운용할 공간이 필요했다. 자본이 자유롭게 빠져나가면 고정환율과 독자적 통화정책을 동시에 유지하기 어렵다. 브레턴우즈는 무역을 다시 열되 자본의 이동에는 울타리를 남기는 절충이었다.</w:t>
      </w:r>
    </w:p>
    <w:p>
      <w:pPr>
        <w:pStyle w:val="aff3"/>
        <w:spacing w:line="259" w:lineRule="auto"/>
      </w:pPr>
      <w:r>
        <w:rPr>
          <w:rFonts w:ascii="KoPubWorld바탕체_Pro Light" w:hAnsi="KoPubWorld바탕체_Pro Light" w:eastAsia="KoPubWorld바탕체_Pro Light" w:cs="KoPubWorld바탕체_Pro Light"/>
          <w:sz w:val="16"/>
        </w:rPr>
        <w:t>이 질서는 ‘시장 대 국가’의 타협보다 국가 목표들 사이의 타협이었다. 환율안정은 무역과 장기계약을 돕고, 정책자율성은 고용과 재건을 돕는다. 자본통제는 둘을 함께 유지하게 하는 경첩이었다. 전후 금융규제는 은행 한 곳의 안전보다 국가의 국제수지와 거시경제 공간을 지키는 규제로 넓어졌다.</w:t>
      </w:r>
    </w:p>
    <w:p>
      <w:pPr>
        <w:pStyle w:val="aff3"/>
        <w:spacing w:line="259" w:lineRule="auto"/>
      </w:pPr>
      <w:r>
        <w:rPr>
          <w:rFonts w:ascii="KoPubWorld바탕체_Pro Light" w:hAnsi="KoPubWorld바탕체_Pro Light" w:eastAsia="KoPubWorld바탕체_Pro Light" w:cs="KoPubWorld바탕체_Pro Light"/>
          <w:sz w:val="16"/>
        </w:rPr>
        <w:t>울타리는 일시적 비상조치로만 보이지 않았다. 국제통화기금 협정문 자체가 회원국의 자본이동 통제 권한을 인정했다. 자유로운 자본이동이 언제나 효율과 평화를 가져온다는 후대의 상식과 다른 출발점이었다.</w:t>
      </w:r>
      <w:r>
        <w:rPr>
          <w:rFonts w:ascii="KoPubWorld바탕체_Pro Light" w:hAnsi="KoPubWorld바탕체_Pro Light" w:eastAsia="KoPubWorld바탕체_Pro Light" w:cs="KoPubWorld바탕체_Pro Light"/>
          <w:sz w:val="14"/>
          <w:vertAlign w:val="superscript"/>
        </w:rPr>
        <w:t>56</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케인스의 청산동맹과 화이트의 기금</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영국의 존 메이너드 케인스는 국제청산동맹과 초국가적 계산단위 ‘방코르’를 구상했다. 적자국만 긴축하는 체계가 아니라 큰 흑자를 쌓는 나라도 조정 압력을 받게 해 세계수요 부족을 막으려 했다. 전쟁으로 채권국에서 채무국이 된 영국의 처지도 이 대칭성 요구에 담겨 있었다.</w:t>
      </w:r>
    </w:p>
    <w:p>
      <w:pPr>
        <w:pStyle w:val="aff3"/>
        <w:spacing w:line="259" w:lineRule="auto"/>
      </w:pPr>
      <w:r>
        <w:rPr>
          <w:rFonts w:ascii="KoPubWorld바탕체_Pro Light" w:hAnsi="KoPubWorld바탕체_Pro Light" w:eastAsia="KoPubWorld바탕체_Pro Light" w:cs="KoPubWorld바탕체_Pro Light"/>
          <w:sz w:val="16"/>
        </w:rPr>
        <w:t>미국 재무부의 해리 덱스터 화이트가 제안한 안은 회원국이 출자하는 안정기금과 달러 중심의 구조에 가까웠다. 세계 최대 금 보유국이자 채권국이 된 미국은 더 제한적인 국제기구와 국가통화에 기초한 체계를 선호했다. 최종합의는 두 구상을 섞었지만 힘의 균형은 미국 쪽에 기울었다.</w:t>
      </w:r>
      <w:r>
        <w:rPr>
          <w:rFonts w:ascii="KoPubWorld바탕체_Pro Light" w:hAnsi="KoPubWorld바탕체_Pro Light" w:eastAsia="KoPubWorld바탕체_Pro Light" w:cs="KoPubWorld바탕체_Pro Light"/>
          <w:sz w:val="14"/>
          <w:vertAlign w:val="superscript"/>
        </w:rPr>
        <w:t>54</w:t>
      </w:r>
    </w:p>
    <w:p>
      <w:pPr>
        <w:pStyle w:val="aff3"/>
        <w:spacing w:line="259" w:lineRule="auto"/>
      </w:pPr>
      <w:r>
        <w:rPr>
          <w:rFonts w:ascii="KoPubWorld바탕체_Pro Light" w:hAnsi="KoPubWorld바탕체_Pro Light" w:eastAsia="KoPubWorld바탕체_Pro Light" w:cs="KoPubWorld바탕체_Pro Light"/>
          <w:sz w:val="16"/>
        </w:rPr>
        <w:t>인물의 대결만으로 회의를 설명하면 작은 나라의 협상과 기술적 쟁점이 사라진다. 쿼터와 의결권, 환율변경의 조건, 외환부족국에 대한 차별조치, 전환기의 예외가 모두 분배문제였다. 누가 더 많이 출자하고 더 많이 빌릴 수 있으며 더 큰 표를 갖는지는 국제금융의 헌법을 정했다.</w:t>
      </w:r>
    </w:p>
    <w:p>
      <w:pPr>
        <w:pStyle w:val="aff3"/>
        <w:spacing w:line="259" w:lineRule="auto"/>
      </w:pPr>
      <w:r>
        <w:rPr>
          <w:rFonts w:ascii="KoPubWorld바탕체_Pro Light" w:hAnsi="KoPubWorld바탕체_Pro Light" w:eastAsia="KoPubWorld바탕체_Pro Light" w:cs="KoPubWorld바탕체_Pro Light"/>
          <w:sz w:val="16"/>
        </w:rPr>
        <w:t>케인스안의 흑자국 책임이 충분히 채택되지 않은 결과, 조정부담은 적자국에 더 크게 놓였다. 국제수지가 나빠진 국가는 기금에 도움을 요청하고 정책을 바꿔야 하지만, 흑자국이 수요를 늘리도록 강제할 장치는 약했다. 대칭적 규칙을 만들기 어려운 이유는 경제논리보다 채권국의 권력이었다.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환율 약속을 법에 넣다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합의된 체계에서 회원국은 자국 통화의 평가를 정하고 좁은 범위에서 유지해야 했다. 미국은 외국 통화당국이 보유한 달러를 금으로 바꿀 수 있게 했고, 금 1온스당 35달러의 공식가격을 중심에 놓았다.</w:t>
      </w:r>
      <w:r>
        <w:rPr>
          <w:rFonts w:ascii="KoPubWorld바탕체_Pro Light" w:hAnsi="KoPubWorld바탕체_Pro Light" w:eastAsia="KoPubWorld바탕체_Pro Light" w:cs="KoPubWorld바탕체_Pro Light"/>
          <w:sz w:val="14"/>
          <w:vertAlign w:val="superscript"/>
        </w:rPr>
        <w:t>55</w:t>
      </w:r>
      <w:r>
        <w:rPr>
          <w:rFonts w:ascii="KoPubWorld바탕체_Pro Light" w:hAnsi="KoPubWorld바탕체_Pro Light" w:eastAsia="KoPubWorld바탕체_Pro Light" w:cs="KoPubWorld바탕체_Pro Light"/>
          <w:sz w:val="16"/>
        </w:rPr>
        <w:t xml:space="preserve"> 모든 통화를 금과 직접 연결하는 고전적 금본위가 아니라, 달러를 매개로 서로의 약속을 묶는 구조였다.</w:t>
      </w:r>
    </w:p>
    <w:p>
      <w:pPr>
        <w:pStyle w:val="aff3"/>
        <w:spacing w:line="259" w:lineRule="auto"/>
      </w:pPr>
      <w:r>
        <w:rPr>
          <w:rFonts w:ascii="KoPubWorld바탕체_Pro Light" w:hAnsi="KoPubWorld바탕체_Pro Light" w:eastAsia="KoPubWorld바탕체_Pro Light" w:cs="KoPubWorld바탕체_Pro Light"/>
          <w:sz w:val="16"/>
        </w:rPr>
        <w:t>그러나 환율을 영구히 동결하지는 않았다. 근본적 불균형이 생기면 평가를 바꿀 수 있는 ‘조정 가능한 고정환율’이었다. 환율은 무조건 지켜야 할 신조가 아니라, 독단적으로 바꿔서는 안 될 공동약속이 되었다. 안정과 조정의 경계를 문서와 절차 안에 넣은 것이 설계의 핵심이었다.</w:t>
      </w:r>
    </w:p>
    <w:p>
      <w:pPr>
        <w:pStyle w:val="aff3"/>
        <w:spacing w:line="259" w:lineRule="auto"/>
      </w:pPr>
      <w:r>
        <w:rPr>
          <w:rFonts w:ascii="KoPubWorld바탕체_Pro Light" w:hAnsi="KoPubWorld바탕체_Pro Light" w:eastAsia="KoPubWorld바탕체_Pro Light" w:cs="KoPubWorld바탕체_Pro Light"/>
          <w:sz w:val="16"/>
        </w:rPr>
        <w:t>문제는 어느 압력이 일시적이고 어느 불균형이 근본적인지 판단하는 일이었다. 너무 쉽게 평가절하하면 이웃 나라에 비용을 넘기고 신뢰를 해칠 수 있다. 너무 늦게 바꾸면 준비금이 말라가고 실업이 커진다. 협정문은 정답을 자동으로 계산하지 않았다. 대신 회원국이 변경을 설명하고 다른 회원국의 이해와 함께 판단받게 했다.</w:t>
      </w:r>
    </w:p>
    <w:p>
      <w:pPr>
        <w:pStyle w:val="aff3"/>
        <w:spacing w:line="259" w:lineRule="auto"/>
      </w:pPr>
      <w:r>
        <w:rPr>
          <w:rFonts w:ascii="KoPubWorld바탕체_Pro Light" w:hAnsi="KoPubWorld바탕체_Pro Light" w:eastAsia="KoPubWorld바탕체_Pro Light" w:cs="KoPubWorld바탕체_Pro Light"/>
          <w:sz w:val="16"/>
        </w:rPr>
        <w:t>이는 국가의 주권을 없애는 설계가 아니었다. 어떤 금리를 선택하고 어디에 재정을 쓸지는 여전히 국내정치의 몫이었다. 다만 그 선택이 환율과 국제수지를 통해 이웃에 영향을 주는 순간, 설명과 협의의 의무가 붙었다. 국제통화질서는 권력을 한 곳으로 옮기는 일보다 권력 행사에 절차를 붙이는 일에 가까웠다.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IMF, 감시와 임시금융의 기구</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국제통화기금 협정문은 1944년 7월 22일 채택되었고 1945년 12월 27일 발효되었다. IMF는 1947년 3월 금융업무를 시작했다.</w:t>
      </w:r>
      <w:r>
        <w:rPr>
          <w:rFonts w:ascii="KoPubWorld바탕체_Pro Light" w:hAnsi="KoPubWorld바탕체_Pro Light" w:eastAsia="KoPubWorld바탕체_Pro Light" w:cs="KoPubWorld바탕체_Pro Light"/>
          <w:sz w:val="14"/>
          <w:vertAlign w:val="superscript"/>
        </w:rPr>
        <w:t>57</w:t>
      </w:r>
      <w:r>
        <w:rPr>
          <w:rFonts w:ascii="KoPubWorld바탕체_Pro Light" w:hAnsi="KoPubWorld바탕체_Pro Light" w:eastAsia="KoPubWorld바탕체_Pro Light" w:cs="KoPubWorld바탕체_Pro Light"/>
          <w:sz w:val="16"/>
        </w:rPr>
        <w:t xml:space="preserve"> 회의가 끝난 날과 제도가 법적으로 생겨난 날, 실제 자금 창구가 열린 날은 다르다. 브레턴우즈를 한 번의 회의로만 보면 이 제도화의 시간을 놓친다.</w:t>
      </w:r>
    </w:p>
    <w:p>
      <w:pPr>
        <w:pStyle w:val="aff3"/>
        <w:spacing w:line="259" w:lineRule="auto"/>
      </w:pPr>
      <w:r>
        <w:rPr>
          <w:rFonts w:ascii="KoPubWorld바탕체_Pro Light" w:hAnsi="KoPubWorld바탕체_Pro Light" w:eastAsia="KoPubWorld바탕체_Pro Light" w:cs="KoPubWorld바탕체_Pro Light"/>
          <w:sz w:val="16"/>
        </w:rPr>
        <w:t>회원국은 쿼터를 출자하고, 국제수지의 일시적 어려움에 공동자원을 이용할 수 있게 되었다. 기금의 대출은 손실을 대신 지급하는 보상금이 아니었다. 준비금이 부족한 나라가 무역을 급히 막거나 경쟁적 평가절하로 버티지 않고 조정할 시간을 사는 임시금융이었다.</w:t>
      </w:r>
    </w:p>
    <w:p>
      <w:pPr>
        <w:pStyle w:val="aff3"/>
        <w:spacing w:line="259" w:lineRule="auto"/>
      </w:pPr>
      <w:r>
        <w:rPr>
          <w:rFonts w:ascii="KoPubWorld바탕체_Pro Light" w:hAnsi="KoPubWorld바탕체_Pro Light" w:eastAsia="KoPubWorld바탕체_Pro Light" w:cs="KoPubWorld바탕체_Pro Light"/>
          <w:sz w:val="16"/>
        </w:rPr>
        <w:t>IMF는 세계의 은행감독청으로 만들어진 것이 아니다. 개별은행의 자본을 검사하거나 예금보험을 운영하지 않았다. 출발점의 중심임무는 국제통화협력, 환율안정, 다자간 지급과 국제수지 지원이었다.</w:t>
      </w:r>
      <w:r>
        <w:rPr>
          <w:rFonts w:ascii="KoPubWorld바탕체_Pro Light" w:hAnsi="KoPubWorld바탕체_Pro Light" w:eastAsia="KoPubWorld바탕체_Pro Light" w:cs="KoPubWorld바탕체_Pro Light"/>
          <w:sz w:val="14"/>
          <w:vertAlign w:val="superscript"/>
        </w:rPr>
        <w:t>56</w:t>
      </w:r>
      <w:r>
        <w:rPr>
          <w:rFonts w:ascii="KoPubWorld바탕체_Pro Light" w:hAnsi="KoPubWorld바탕체_Pro Light" w:eastAsia="KoPubWorld바탕체_Pro Light" w:cs="KoPubWorld바탕체_Pro Light"/>
          <w:sz w:val="16"/>
        </w:rPr>
        <w:t xml:space="preserve"> 훗날의 금융부문 평가를 1944년의 기관 설계에 거꾸로 투영해서는 안 된다.</w:t>
      </w:r>
    </w:p>
    <w:p>
      <w:pPr>
        <w:pStyle w:val="aff3"/>
        <w:spacing w:line="259" w:lineRule="auto"/>
      </w:pPr>
      <w:r>
        <w:rPr>
          <w:rFonts w:ascii="KoPubWorld바탕체_Pro Light" w:hAnsi="KoPubWorld바탕체_Pro Light" w:eastAsia="KoPubWorld바탕체_Pro Light" w:cs="KoPubWorld바탕체_Pro Light"/>
          <w:sz w:val="16"/>
        </w:rPr>
        <w:t>쿼터는 자금 이용 한도와 의결권을 함께 구성했다. 자원이 큰 국가가 더 많이 출자하고 더 큰 표를 갖는 구조는 지분을 반영한다는 설명과 힘을 제도화했다는 비판을 동시에 불렀다. 자원을 많이 부담하는 나라와 규칙의 영향을 가장 크게 받는 나라가 같지 않을 수 있었다.</w:t>
      </w:r>
    </w:p>
    <w:p>
      <w:pPr>
        <w:pStyle w:val="aff3"/>
        <w:spacing w:line="259" w:lineRule="auto"/>
      </w:pPr>
      <w:r>
        <w:rPr>
          <w:rFonts w:ascii="KoPubWorld바탕체_Pro Light" w:hAnsi="KoPubWorld바탕체_Pro Light" w:eastAsia="KoPubWorld바탕체_Pro Light" w:cs="KoPubWorld바탕체_Pro Light"/>
          <w:sz w:val="16"/>
        </w:rPr>
        <w:t>공동기금을 빌리는 국가에 정책 설명을 요구하는 논리도 이 구조에서 나왔다. 조정 없는 대출은 문제를 미룰 수 있지만, 과도한 조건은 침체와 사회적 비용을 키울 수 있다. 어느 조건이 공동자원을 보호하는 장치이고 어느 조건이 회원국의 선택을 대신하는 간섭인지의 논쟁은 창설 순간부터 제도 안에 잠재했다.</w:t>
      </w:r>
    </w:p>
    <w:p>
      <w:pPr>
        <w:pStyle w:val="aff3"/>
        <w:spacing w:line="259" w:lineRule="auto"/>
      </w:pPr>
      <w:r>
        <w:rPr>
          <w:rFonts w:ascii="KoPubWorld바탕체_Pro Light" w:hAnsi="KoPubWorld바탕체_Pro Light" w:eastAsia="KoPubWorld바탕체_Pro Light" w:cs="KoPubWorld바탕체_Pro Light"/>
          <w:sz w:val="16"/>
        </w:rPr>
        <w:t>결국 IMF가 만든 것은 단순한 자금창구가 아니었다. 회원국이 환율과 국제수지 정책을 설명하고 공동자원을 쓰는 조건을 협의하는 절차였다. 기술적 판단은 금리·재정·환율을 통해 계층별로 다른 부담을 만든다. 국제적 임시금융은 처음부터 경제와 주권의 경계에 서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IBRD, 재건의 시간을 길게 보다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세계은행의 전신인 국제부흥개발은행도 함께 설계되었다. IMF가 단기 국제수지 문제를 맡는다면, IBRD는 전쟁으로 파괴된 기반시설과 생산능력을 복구할 장기자금을 공급하는 구상이었다.</w:t>
      </w:r>
      <w:r>
        <w:rPr>
          <w:rFonts w:ascii="KoPubWorld바탕체_Pro Light" w:hAnsi="KoPubWorld바탕체_Pro Light" w:eastAsia="KoPubWorld바탕체_Pro Light" w:cs="KoPubWorld바탕체_Pro Light"/>
          <w:sz w:val="14"/>
          <w:vertAlign w:val="superscript"/>
        </w:rPr>
        <w:t>54</w:t>
      </w:r>
      <w:r>
        <w:rPr>
          <w:rFonts w:ascii="KoPubWorld바탕체_Pro Light" w:hAnsi="KoPubWorld바탕체_Pro Light" w:eastAsia="KoPubWorld바탕체_Pro Light" w:cs="KoPubWorld바탕체_Pro Light"/>
          <w:sz w:val="16"/>
        </w:rPr>
        <w:t xml:space="preserve"> 환율을 지킬 며칠의 유동성과 공장을 다시 지을 수년의 자본은 같은 수단으로 다룰 수 없다는 기능분담이었다.</w:t>
      </w:r>
    </w:p>
    <w:p>
      <w:pPr>
        <w:pStyle w:val="aff3"/>
        <w:spacing w:line="259" w:lineRule="auto"/>
      </w:pPr>
      <w:r>
        <w:rPr>
          <w:rFonts w:ascii="KoPubWorld바탕체_Pro Light" w:hAnsi="KoPubWorld바탕체_Pro Light" w:eastAsia="KoPubWorld바탕체_Pro Light" w:cs="KoPubWorld바탕체_Pro Light"/>
          <w:sz w:val="16"/>
        </w:rPr>
        <w:t>두 기구를 함께 놓은 것은 통화안정과 실물경제 회복을 따로 보지 않았다는 뜻이다. 재건을 위한 수입이 늘면 국제수지가 나빠질 수 있고, 외환을 지키려 수입을 과도하게 막으면 생산능력 회복이 늦어진다. 짧은 공백을 메우는 자금과 긴 성장을 만드는 자금을 함께 설계한 이유다.</w:t>
      </w:r>
    </w:p>
    <w:p>
      <w:pPr>
        <w:pStyle w:val="aff3"/>
        <w:spacing w:line="259" w:lineRule="auto"/>
      </w:pPr>
      <w:r>
        <w:rPr>
          <w:rFonts w:ascii="KoPubWorld바탕체_Pro Light" w:hAnsi="KoPubWorld바탕체_Pro Light" w:eastAsia="KoPubWorld바탕체_Pro Light" w:cs="KoPubWorld바탕체_Pro Light"/>
          <w:sz w:val="16"/>
        </w:rPr>
        <w:t>협정이 모든 재건자금을 책임지지는 않았다. 미국의 양자 지원과 각국의 재정, 민간은행과 무역신용이 별도로 작동해야 했다. 국제기구는 전후 질서의 전부가 아니라, 서로 다른 금융의 시간을 연결하는 한 축이었다.</w:t>
      </w:r>
    </w:p>
    <w:p>
      <w:pPr>
        <w:pStyle w:val="aff3"/>
        <w:spacing w:line="259" w:lineRule="auto"/>
      </w:pPr>
      <w:r>
        <w:rPr>
          <w:rFonts w:ascii="KoPubWorld바탕체_Pro Light" w:hAnsi="KoPubWorld바탕체_Pro Light" w:eastAsia="KoPubWorld바탕체_Pro Light" w:cs="KoPubWorld바탕체_Pro Light"/>
          <w:sz w:val="16"/>
        </w:rPr>
        <w:t>기능을 나눈 까닭은 자금의 목적에 따라 책임을 달리 묻기 위해서이기도 했다. 국제수지의 일시적 공백을 메우는 돈은 환율조정과 상환 가능성을 중심으로 판단해야 하지만, 발전소와 철도를 짓는 돈은 사업의 생산성과 긴 상환기간을 보아야 한다. 둘을 한 창구에 섞으면 단기 유동성 지원이 회수하기 어려운 장기투자로 굳거나, 반대로 장기 재건사업이 매번 외환사정에 따라 중단될 수 있다. 기관의 경계는 회계상의 편의가 아니라 위험의 시간과 심사기준을 구분하는 규제였다.</w:t>
      </w:r>
    </w:p>
    <w:p>
      <w:pPr>
        <w:pStyle w:val="aff3"/>
        <w:spacing w:line="259" w:lineRule="auto"/>
      </w:pPr>
      <w:r>
        <w:rPr>
          <w:rFonts w:ascii="KoPubWorld바탕체_Pro Light" w:hAnsi="KoPubWorld바탕체_Pro Light" w:eastAsia="KoPubWorld바탕체_Pro Light" w:cs="KoPubWorld바탕체_Pro Light"/>
          <w:sz w:val="16"/>
        </w:rPr>
        <w:t>그렇다고 두 위험이 완전히 분리되는 것은 아니었다. 재건사업이 실패하면 수입대금과 외채상환이 국제수지 압력으로 돌아오고, 환율불안이 길어지면 장기사업의 비용도 달라진다. IMF와 IBRD의 병치는 기관별 임무를 나누면서도 통화와 개발을 같은 전후 질서 안에서 보려는 선택이었다.</w:t>
      </w:r>
      <w:r>
        <w:rPr>
          <w:rFonts w:ascii="KoPubWorld바탕체_Pro Light" w:hAnsi="KoPubWorld바탕체_Pro Light" w:eastAsia="KoPubWorld바탕체_Pro Light" w:cs="KoPubWorld바탕체_Pro Light"/>
          <w:sz w:val="14"/>
          <w:vertAlign w:val="superscript"/>
        </w:rPr>
        <w:t>54</w:t>
      </w:r>
      <w:r>
        <w:rPr>
          <w:rFonts w:ascii="KoPubWorld바탕체_Pro Light" w:hAnsi="KoPubWorld바탕체_Pro Light" w:eastAsia="KoPubWorld바탕체_Pro Light" w:cs="KoPubWorld바탕체_Pro Light"/>
          <w:sz w:val="16"/>
        </w:rPr>
        <w:t xml:space="preserve"> 금융규제의 경계는 위험을 서로 무관하게 만드는 선이 아니라, 먼저 책임질 기관과 판단의 시간표를 정하는 선이었다.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자본이동의 문에 자물쇠를 달다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IMF 협정 제6조 제3항은 회원국이 국제자본이동을 규제하는 데 필요한 통제를 할 수 있다고 명시했다.</w:t>
      </w:r>
      <w:r>
        <w:rPr>
          <w:rFonts w:ascii="KoPubWorld바탕체_Pro Light" w:hAnsi="KoPubWorld바탕체_Pro Light" w:eastAsia="KoPubWorld바탕체_Pro Light" w:cs="KoPubWorld바탕체_Pro Light"/>
          <w:sz w:val="14"/>
          <w:vertAlign w:val="superscript"/>
        </w:rPr>
        <w:t>58</w:t>
      </w:r>
      <w:r>
        <w:rPr>
          <w:rFonts w:ascii="KoPubWorld바탕체_Pro Light" w:hAnsi="KoPubWorld바탕체_Pro Light" w:eastAsia="KoPubWorld바탕체_Pro Light" w:cs="KoPubWorld바탕체_Pro Light"/>
          <w:sz w:val="16"/>
        </w:rPr>
        <w:t xml:space="preserve"> 단기자금의 자유를 협정의 최종목표로 삼지 않았다는 뜻이다. 대신 경상거래의 지급을 부당하게 막거나 약속된 자금을 묶는 데 그 통제를 쓸 수는 없었다. 상품과 서비스의 결제를 열고, 그 결제를 핑계로 움직이는 투기적 자본은 관리할 수 있게 한 구별이었다.</w:t>
      </w:r>
      <w:r>
        <w:rPr>
          <w:rFonts w:ascii="KoPubWorld바탕체_Pro Light" w:hAnsi="KoPubWorld바탕체_Pro Light" w:eastAsia="KoPubWorld바탕체_Pro Light" w:cs="KoPubWorld바탕체_Pro Light"/>
          <w:sz w:val="14"/>
          <w:vertAlign w:val="superscript"/>
        </w:rPr>
        <w:t>56</w:t>
      </w:r>
    </w:p>
    <w:p>
      <w:pPr>
        <w:pStyle w:val="aff3"/>
        <w:spacing w:line="259" w:lineRule="auto"/>
      </w:pPr>
      <w:r>
        <w:rPr>
          <w:rFonts w:ascii="KoPubWorld바탕체_Pro Light" w:hAnsi="KoPubWorld바탕체_Pro Light" w:eastAsia="KoPubWorld바탕체_Pro Light" w:cs="KoPubWorld바탕체_Pro Light"/>
          <w:sz w:val="16"/>
        </w:rPr>
        <w:t>법적 구별이 경제적 사실을 자동으로 분류해 주지는 않는다. 무역대금으로 꾸민 자본도피, 기업 내부대출, 지급시점 조정처럼 거래의 이름과 목적이 다를 수 있다. 어느 송금이 무역을 위한 것인지 자산을 빼돌리려는 것인지 구별하려면 서류와 조사, 규칙과 이의절차가 필요했다. 협정이 통제를 허용했다고 해서 그 통제가 정당하게 집행되는 것은 아니었다.</w:t>
      </w:r>
    </w:p>
    <w:p>
      <w:pPr>
        <w:pStyle w:val="aff3"/>
        <w:spacing w:line="259" w:lineRule="auto"/>
      </w:pPr>
      <w:r>
        <w:rPr>
          <w:rFonts w:ascii="KoPubWorld바탕체_Pro Light" w:hAnsi="KoPubWorld바탕체_Pro Light" w:eastAsia="KoPubWorld바탕체_Pro Light" w:cs="KoPubWorld바탕체_Pro Light"/>
          <w:sz w:val="16"/>
        </w:rPr>
        <w:t>자본통제는 국내 금리와 신용정책의 공간을 확보하는 수단으로 설계되었다. 자금이 해외수익률을 찾아 즉시 빠져나가지 못하면, 정부는 재건과 고용을 위해 금리를 조절할 여지를 얻는다. 환율의 약속과 국내 정책자율성을 함께 지키기 위한 경첩이었다.</w:t>
      </w:r>
    </w:p>
    <w:p>
      <w:pPr>
        <w:pStyle w:val="aff3"/>
        <w:spacing w:line="259" w:lineRule="auto"/>
      </w:pPr>
      <w:r>
        <w:rPr>
          <w:rFonts w:ascii="KoPubWorld바탕체_Pro Light" w:hAnsi="KoPubWorld바탕체_Pro Light" w:eastAsia="KoPubWorld바탕체_Pro Light" w:cs="KoPubWorld바탕체_Pro Light"/>
          <w:sz w:val="16"/>
        </w:rPr>
        <w:t>반대로 통제는 허가권을 키워 자의적 배분과 부패의 여지를 만든다. 저축자의 선택을 줄이고 정부와 가까운 산업에 신용을 몰아줄 수도 있다. 자본이동을 막을 권한과 그 권한의 남용을 막을 절차는 같이 설계되어야 했다. 안정을 위한 울타리와 국내 금융권력의 울타리는 동일한 벽의 두 면이었다.</w:t>
      </w:r>
    </w:p>
    <w:p>
      <w:pPr>
        <w:pStyle w:val="aff3"/>
        <w:spacing w:line="259" w:lineRule="auto"/>
      </w:pPr>
      <w:r>
        <w:rPr>
          <w:rFonts w:ascii="KoPubWorld바탕체_Pro Light" w:hAnsi="KoPubWorld바탕체_Pro Light" w:eastAsia="KoPubWorld바탕체_Pro Light" w:cs="KoPubWorld바탕체_Pro Light"/>
          <w:sz w:val="16"/>
        </w:rPr>
        <w:t>브레턴우즈의 설계자들은 위기를 없애는 기계를 만들지 않았다. 적자국과 흑자국 사이의 비대칭, 달러 중심 질서, 통제권의 남용 가능성을 남겨 두었다. 그럼에도 각국이 혼자 평가절하와 무역제한을 반복하던 실패를 공동규칙과 임시금융으로 바꾸려 했다.</w:t>
      </w:r>
      <w:r>
        <w:rPr>
          <w:rFonts w:ascii="KoPubWorld바탕체_Pro Light" w:hAnsi="KoPubWorld바탕체_Pro Light" w:eastAsia="KoPubWorld바탕체_Pro Light" w:cs="KoPubWorld바탕체_Pro Light"/>
          <w:sz w:val="14"/>
          <w:vertAlign w:val="superscript"/>
        </w:rPr>
        <w:t>54</w:t>
      </w:r>
      <w:r>
        <w:rPr>
          <w:rFonts w:ascii="KoPubWorld바탕체_Pro Light" w:hAnsi="KoPubWorld바탕체_Pro Light" w:eastAsia="KoPubWorld바탕체_Pro Light" w:cs="KoPubWorld바탕체_Pro Light"/>
          <w:sz w:val="16"/>
        </w:rPr>
        <w:t xml:space="preserve"> 1944년에 채택된 두 기구의 헌법이 1945년 발효되고, IMF의 자금 창구가 1947년 열리며 법적 설계는 비로소 전후의 실험으로 넘어갔다.</w:t>
      </w:r>
      <w:r>
        <w:rPr>
          <w:rFonts w:ascii="KoPubWorld바탕체_Pro Light" w:hAnsi="KoPubWorld바탕체_Pro Light" w:eastAsia="KoPubWorld바탕체_Pro Light" w:cs="KoPubWorld바탕체_Pro Light"/>
          <w:sz w:val="14"/>
          <w:vertAlign w:val="superscript"/>
        </w:rPr>
        <w:t>57</w:t>
      </w:r>
      <w:r>
        <w:rPr>
          <w:rFonts w:ascii="KoPubWorld바탕체_Pro Light" w:hAnsi="KoPubWorld바탕체_Pro Light" w:eastAsia="KoPubWorld바탕체_Pro Light" w:cs="KoPubWorld바탕체_Pro Light"/>
          <w:sz w:val="16"/>
        </w:rPr>
        <w:t xml:space="preserve"> 그 실험이 달러 부족과 재건, 정책금융 속에서 어떻게 작동했는지는 다음 장의 주제다.</w:t>
      </w:r>
    </w:p>
    <w:p>
      <w:r>
        <w:br w:type="page"/>
      </w:r>
    </w:p>
    <w:p>
      <w:pPr>
        <w:spacing w:before="1720" w:after="0"/>
      </w:pPr>
    </w:p>
    <w:p>
      <w:pPr>
        <w:pStyle w:val="aff9"/>
        <w:jc w:val="center"/>
      </w:pPr>
      <w:r>
        <w:rPr>
          <w:rFonts w:ascii="Noto Sans CJK KR" w:hAnsi="Noto Sans CJK KR" w:eastAsia="Noto Sans CJK KR" w:cs="Noto Sans CJK KR"/>
          <w:b/>
          <w:sz w:val="22"/>
        </w:rPr>
        <w:t>3부</w:t>
      </w:r>
    </w:p>
    <w:p>
      <w:pPr>
        <w:pStyle w:val="affa"/>
        <w:jc w:val="center"/>
      </w:pPr>
      <w:r>
        <w:rPr>
          <w:rFonts w:ascii="KoPubWorld바탕체_Pro Bold" w:hAnsi="KoPubWorld바탕체_Pro Bold" w:eastAsia="KoPubWorld바탕체_Pro Bold" w:cs="KoPubWorld바탕체_Pro Bold"/>
          <w:b/>
          <w:sz w:val="36"/>
        </w:rPr>
        <w:t>세계화, 규제완화, 위기 이후의 새 헌법</w:t>
      </w:r>
    </w:p>
    <w:p>
      <w:pPr>
        <w:pStyle w:val="affb"/>
        <w:jc w:val="center"/>
      </w:pPr>
      <w:r>
        <w:rPr>
          <w:rFonts w:ascii="KoPubWorld바탕체_Pro Light" w:hAnsi="KoPubWorld바탕체_Pro Light" w:eastAsia="KoPubWorld바탕체_Pro Light" w:cs="KoPubWorld바탕체_Pro Light"/>
          <w:sz w:val="19"/>
        </w:rPr>
        <w:t>금융세계화는 위험을 분산했지만 관할과 장부의 경계 밖으로 위험을 밀어냈다.</w:t>
      </w:r>
    </w:p>
    <w:p>
      <w:r>
        <w:br w:type="page"/>
      </w:r>
    </w:p>
    <w:p>
      <w:pPr>
        <w:spacing w:before="480" w:after="0"/>
      </w:pPr>
    </w:p>
    <w:p>
      <w:pPr>
        <w:keepNext/>
        <w:jc w:val="center"/>
      </w:pPr>
      <w:r>
        <w:drawing>
          <wp:inline xmlns:a="http://schemas.openxmlformats.org/drawingml/2006/main" xmlns:pic="http://schemas.openxmlformats.org/drawingml/2006/picture">
            <wp:extent cx="3941063" cy="2218026"/>
            <wp:docPr id="8" name="Picture 8" descr="세계화, 규제완화, 위기 이후의 새 헌법" title="세계화, 규제완화, 위기 이후의 새 헌법"/>
            <wp:cNvGraphicFramePr>
              <a:graphicFrameLocks noChangeAspect="1"/>
            </wp:cNvGraphicFramePr>
            <a:graphic>
              <a:graphicData uri="http://schemas.openxmlformats.org/drawingml/2006/picture">
                <pic:pic>
                  <pic:nvPicPr>
                    <pic:cNvPr id="0" name="part3_crossborder_gray_q86.jpg"/>
                    <pic:cNvPicPr/>
                  </pic:nvPicPr>
                  <pic:blipFill>
                    <a:blip r:embed="rId46"/>
                    <a:stretch>
                      <a:fillRect/>
                    </a:stretch>
                  </pic:blipFill>
                  <pic:spPr>
                    <a:xfrm>
                      <a:off x="0" y="0"/>
                      <a:ext cx="3941063" cy="2218026"/>
                    </a:xfrm>
                    <a:prstGeom prst="rect"/>
                  </pic:spPr>
                </pic:pic>
              </a:graphicData>
            </a:graphic>
          </wp:inline>
        </w:drawing>
      </w:r>
    </w:p>
    <w:p>
      <w:pPr>
        <w:spacing w:before="140" w:after="0"/>
      </w:pPr>
    </w:p>
    <w:p>
      <w:pPr>
        <w:pStyle w:val="affb"/>
        <w:jc w:val="center"/>
      </w:pPr>
      <w:r>
        <w:rPr>
          <w:rFonts w:ascii="KoPubWorld바탕체_Pro Light" w:hAnsi="KoPubWorld바탕체_Pro Light" w:eastAsia="KoPubWorld바탕체_Pro Light" w:cs="KoPubWorld바탕체_Pro Light"/>
          <w:sz w:val="19"/>
        </w:rPr>
        <w:t>세계화, 규제완화, 위기 이후의 새 헌법</w:t>
      </w:r>
    </w:p>
    <w:p>
      <w:r>
        <w:br w:type="page"/>
      </w:r>
    </w:p>
    <w:p>
      <w:pPr>
        <w:pStyle w:val="aff2"/>
        <w:spacing w:before="440"/>
        <w:jc w:val="center"/>
      </w:pPr>
      <w:r>
        <w:rPr>
          <w:rFonts w:ascii="KoPubWorld바탕체_Pro Bold" w:hAnsi="KoPubWorld바탕체_Pro Bold" w:eastAsia="KoPubWorld바탕체_Pro Bold" w:cs="KoPubWorld바탕체_Pro Bold"/>
          <w:b/>
          <w:sz w:val="24"/>
        </w:rPr>
        <w:t>Chapter. 14</w:t>
      </w:r>
    </w:p>
    <w:p>
      <w:pPr>
        <w:pStyle w:val="aff1"/>
        <w:jc w:val="center"/>
      </w:pPr>
      <w:r>
        <w:rPr>
          <w:rFonts w:ascii="KoPubWorld바탕체_Pro Bold" w:hAnsi="KoPubWorld바탕체_Pro Bold" w:eastAsia="KoPubWorld바탕체_Pro Bold" w:cs="KoPubWorld바탕체_Pro Bold"/>
          <w:b/>
          <w:sz w:val="28"/>
        </w:rPr>
        <w:t>안정의 대가 — 전후 금융억압과 정책금융</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전쟁 직후의 유럽 항구에서 수입업자는 물건보다 먼저 달러를 기다렸다. 공장에는 미국산 기계와 연료가 필요했지만, 전쟁으로 수출 기반이 무너진 나라에는 그 대금을 치를 외환이 부족했다. 중앙은행과 외환당국은 어느 기업에 달러를 내줄지 정했고, 은행은 가장 높은 수익보다 재건 계획의 우선순위에 맞춰 신용을 공급했다. 브레턴우즈는 산악호텔의 협정문에서 끝난 질서가 아니었다. 배급표와 허가서, 금리상한과 국채 장부 속에서 비로소 움직이기 시작했다.</w:t>
      </w:r>
    </w:p>
    <w:p>
      <w:pPr>
        <w:pStyle w:val="aff3"/>
        <w:spacing w:line="259" w:lineRule="auto"/>
      </w:pPr>
      <w:r>
        <w:rPr>
          <w:rFonts w:ascii="KoPubWorld바탕체_Pro Light" w:hAnsi="KoPubWorld바탕체_Pro Light" w:eastAsia="KoPubWorld바탕체_Pro Light" w:cs="KoPubWorld바탕체_Pro Light"/>
          <w:sz w:val="16"/>
        </w:rPr>
        <w:t>앞 장에서 본 법적 설계는 조정 가능한 환율과 국제수지 지원, 자본이동을 통제할 여지를 한 묶음으로 만들었다.</w:t>
      </w:r>
      <w:r>
        <w:rPr>
          <w:rFonts w:ascii="KoPubWorld바탕체_Pro Light" w:hAnsi="KoPubWorld바탕체_Pro Light" w:eastAsia="KoPubWorld바탕체_Pro Light" w:cs="KoPubWorld바탕체_Pro Light"/>
          <w:sz w:val="14"/>
          <w:vertAlign w:val="superscript"/>
        </w:rPr>
        <w:t>59,60</w:t>
      </w:r>
      <w:r>
        <w:rPr>
          <w:rFonts w:ascii="KoPubWorld바탕체_Pro Light" w:hAnsi="KoPubWorld바탕체_Pro Light" w:eastAsia="KoPubWorld바탕체_Pro Light" w:cs="KoPubWorld바탕체_Pro Light"/>
          <w:sz w:val="16"/>
        </w:rPr>
        <w:t xml:space="preserve"> 이 장의 질문은 그 조항을 다시 설명하는 데 있지 않다. 전쟁 뒤 달러가 모자라고 정부부채가 큰 현실에서 그 설계가 어떻게 운용되었는지, 운용 과정에서 어떤 국내 금융질서와 우회 시장이 생겼는지를 살피는 데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재건의 시간표에 금융을 맞추다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전후의 은행은 국제 자금의 고속도로라기보다 국내 재건의 배관에 가까웠다. 정부는 금리의 수준과 신용의 방향, 은행의 업무 범위와 외환 거래에 깊이 관여했다. 공장, 주택, 전력과 수입 원자재에 필요한 자금이 끊기지 않게 하는 일이 금융상품의 다양성과 단기 수익률 경쟁보다 앞섰다.</w:t>
      </w:r>
    </w:p>
    <w:p>
      <w:pPr>
        <w:pStyle w:val="aff3"/>
        <w:spacing w:line="259" w:lineRule="auto"/>
      </w:pPr>
      <w:r>
        <w:rPr>
          <w:rFonts w:ascii="KoPubWorld바탕체_Pro Light" w:hAnsi="KoPubWorld바탕체_Pro Light" w:eastAsia="KoPubWorld바탕체_Pro Light" w:cs="KoPubWorld바탕체_Pro Light"/>
          <w:sz w:val="16"/>
        </w:rPr>
        <w:t>이 운용방식은 뒤에 ‘금융억압’이라는 이름으로 불렸다. 예금금리 상한, 은행의 국채 보유, 자본이동 제한과 외환 배분을 결합하면 정부는 낮은 비용으로 전쟁부채를 관리하고 선택한 부문에 신용을 보낼 수 있다. 정책금융은 시장에서 자금이 부족해질 장기 재건사업을 지속하게 했고, 자본통제는 국내 금리와 해외 금리의 차이가 즉시 자금 유출로 이어지는 것을 늦췄다.</w:t>
      </w:r>
    </w:p>
    <w:p>
      <w:pPr>
        <w:pStyle w:val="aff3"/>
        <w:spacing w:line="259" w:lineRule="auto"/>
      </w:pPr>
      <w:r>
        <w:rPr>
          <w:rFonts w:ascii="KoPubWorld바탕체_Pro Light" w:hAnsi="KoPubWorld바탕체_Pro Light" w:eastAsia="KoPubWorld바탕체_Pro Light" w:cs="KoPubWorld바탕체_Pro Light"/>
          <w:sz w:val="16"/>
        </w:rPr>
        <w:t>공장주의 눈으로 보면 의도가 선명하다. 설비를 고치려는 기업에는 매일 변하는 국제 수익률보다 수년짜리 대출을 받을 수 있는지가 중요했다. 노동자에게는 해외 투자기회보다 일자리와 물가가 먼저였다. 금융의 시간표를 재건의 시간표에 맞추면 민간이 감당하기 어려운 장기투자를 가능하게 하고 경기 회복의 연속성을 지킬 수 있었다.</w:t>
      </w:r>
    </w:p>
    <w:p>
      <w:pPr>
        <w:pStyle w:val="aff3"/>
        <w:spacing w:line="259" w:lineRule="auto"/>
      </w:pPr>
      <w:r>
        <w:rPr>
          <w:rFonts w:ascii="KoPubWorld바탕체_Pro Light" w:hAnsi="KoPubWorld바탕체_Pro Light" w:eastAsia="KoPubWorld바탕체_Pro Light" w:cs="KoPubWorld바탕체_Pro Light"/>
          <w:sz w:val="16"/>
        </w:rPr>
        <w:t>그러나 낮은 금리는 중립적인 혜택이 아니었다. 저축자는 낮은 실질수익을 감수했고, 허가를 받은 기업과 그렇지 못한 기업 사이의 격차가 커졌다. 정부가 잘못 고른 산업에도 자금이 오래 머물 수 있었고, 보호받는 은행은 심사 능력과 비용 절감에 둔감해질 수 있었다. 정책금융의 핵심 위험은 국가가 시장보다 언제나 틀린다는 데 있지 않다. 선택의 실패를 누가 인정하고 손실을 어떻게 드러낼지가 불분명해지기 쉽다는 데 있다.</w:t>
      </w:r>
    </w:p>
    <w:p>
      <w:pPr>
        <w:pStyle w:val="aff3"/>
        <w:spacing w:line="259" w:lineRule="auto"/>
      </w:pPr>
      <w:r>
        <w:rPr>
          <w:rFonts w:ascii="KoPubWorld바탕체_Pro Light" w:hAnsi="KoPubWorld바탕체_Pro Light" w:eastAsia="KoPubWorld바탕체_Pro Light" w:cs="KoPubWorld바탕체_Pro Light"/>
          <w:sz w:val="16"/>
        </w:rPr>
        <w:t>외환배분도 같은 양면성을 가졌다. 귀한 달러를 필수 수입에 먼저 쓰면 생산과 생활을 지킬 수 있지만, 허가권은 관료의 재량과 정치적 연계를 키운다. 공식 환율이 실제 수요와 멀어지면 암시장과 우회 거래가 생긴다. 전후 안정은 통제를 이상화한 결과가 아니라 통제의 편익과 남용 가능성을 동시에 관리하려 한 불완전한 운영의 결과였다.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달러 부족 속에서 작동을 배우다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제도는 협정문이 발효했다고 곧바로 완성되지 않았다. 전쟁이 끝난 유럽에는 달러가 부족했다. 미국에서 기계와 식량을 사야 했지만 수출로 벌어들이는 달러는 충분하지 않았다. 많은 나라는 외환 통제를 유지했고, 브레턴우즈 체제는 1958년에야 주요 유럽 통화가 경상거래 태환성을 회복하면서 본격적으로 기능하기 시작했다.</w:t>
      </w:r>
      <w:r>
        <w:rPr>
          <w:rFonts w:ascii="KoPubWorld바탕체_Pro Light" w:hAnsi="KoPubWorld바탕체_Pro Light" w:eastAsia="KoPubWorld바탕체_Pro Light" w:cs="KoPubWorld바탕체_Pro Light"/>
          <w:sz w:val="14"/>
          <w:vertAlign w:val="superscript"/>
        </w:rPr>
        <w:t>61</w:t>
      </w:r>
    </w:p>
    <w:p>
      <w:pPr>
        <w:pStyle w:val="aff3"/>
        <w:spacing w:line="259" w:lineRule="auto"/>
      </w:pPr>
      <w:r>
        <w:rPr>
          <w:rFonts w:ascii="KoPubWorld바탕체_Pro Light" w:hAnsi="KoPubWorld바탕체_Pro Light" w:eastAsia="KoPubWorld바탕체_Pro Light" w:cs="KoPubWorld바탕체_Pro Light"/>
          <w:sz w:val="16"/>
        </w:rPr>
        <w:t>유럽결제동맹은 이 과도기의 중요한 장치였다. 회원국 간 거래를 건별로 달러로 결제하지 않고 일정 기간 동안 다자간으로 상계함으로써 귀한 외환을 아꼈다. 국제결제은행은 결제 대리인 역할을 했고, 동맹은 유럽 통화들이 경상거래 태환성을 회복한 1958년에 종료되었다.</w:t>
      </w:r>
      <w:r>
        <w:rPr>
          <w:rFonts w:ascii="KoPubWorld바탕체_Pro Light" w:hAnsi="KoPubWorld바탕체_Pro Light" w:eastAsia="KoPubWorld바탕체_Pro Light" w:cs="KoPubWorld바탕체_Pro Light"/>
          <w:sz w:val="14"/>
          <w:vertAlign w:val="superscript"/>
        </w:rPr>
        <w:t>62</w:t>
      </w:r>
    </w:p>
    <w:p>
      <w:pPr>
        <w:pStyle w:val="aff3"/>
        <w:spacing w:line="259" w:lineRule="auto"/>
      </w:pPr>
      <w:r>
        <w:rPr>
          <w:rFonts w:ascii="KoPubWorld바탕체_Pro Light" w:hAnsi="KoPubWorld바탕체_Pro Light" w:eastAsia="KoPubWorld바탕체_Pro Light" w:cs="KoPubWorld바탕체_Pro Light"/>
          <w:sz w:val="16"/>
        </w:rPr>
        <w:t>이 대목은 금융규제를 단순한 금지 목록으로 보아서는 이해하기 어렵다는 점을 보여준다. 외환 통제는 거래를 가로막았지만, 다자간 상계는 같은 제약 아래에서 더 많은 거래가 가능하도록 만들었다. 좋은 규제는 문을 잠그는 데서 끝나지 않는다. 제한된 유동성을 어떤 순서와 규칙으로 배분할지 정한다. 전후 질서는 통제와 협력을 한 묶음으로 사용했다.</w:t>
      </w:r>
    </w:p>
    <w:p>
      <w:pPr>
        <w:pStyle w:val="aff3"/>
        <w:spacing w:line="259" w:lineRule="auto"/>
      </w:pPr>
      <w:r>
        <w:rPr>
          <w:rFonts w:ascii="KoPubWorld바탕체_Pro Light" w:hAnsi="KoPubWorld바탕체_Pro Light" w:eastAsia="KoPubWorld바탕체_Pro Light" w:cs="KoPubWorld바탕체_Pro Light"/>
          <w:sz w:val="16"/>
        </w:rPr>
        <w:t>상계의 논리는 오늘날의 금융안정 장치와도 닮아 있다. 모든 참가자가 동시에 가장 안전한 자산만 요구하면 체제 전체에는 그 자산이 부족해진다. 개별 국가의 신중함이 집단의 결제 마비를 만들 수 있다. 유럽결제동맹은 반복되는 거래를 한데 모아 순액만 결제함으로써 각국이 필요한 달러의 양을 줄였다.</w:t>
      </w:r>
      <w:r>
        <w:rPr>
          <w:rFonts w:ascii="KoPubWorld바탕체_Pro Light" w:hAnsi="KoPubWorld바탕체_Pro Light" w:eastAsia="KoPubWorld바탕체_Pro Light" w:cs="KoPubWorld바탕체_Pro Light"/>
          <w:sz w:val="14"/>
          <w:vertAlign w:val="superscript"/>
        </w:rPr>
        <w:t>62</w:t>
      </w:r>
      <w:r>
        <w:rPr>
          <w:rFonts w:ascii="KoPubWorld바탕체_Pro Light" w:hAnsi="KoPubWorld바탕체_Pro Light" w:eastAsia="KoPubWorld바탕체_Pro Light" w:cs="KoPubWorld바탕체_Pro Light"/>
          <w:sz w:val="16"/>
        </w:rPr>
        <w:t xml:space="preserve"> 위험을 없앤 것이 아니라 서로의 거래를 보이게 만들고 공동 규칙 안에서 절약한 것이다. 규제는 개별 기관의 건전성뿐 아니라 거래망 전체의 구조를 설계하는 일이기도 하다.</w:t>
      </w:r>
    </w:p>
    <w:p>
      <w:pPr>
        <w:pStyle w:val="aff3"/>
        <w:spacing w:line="259" w:lineRule="auto"/>
      </w:pPr>
      <w:r>
        <w:rPr>
          <w:rFonts w:ascii="KoPubWorld바탕체_Pro Light" w:hAnsi="KoPubWorld바탕체_Pro Light" w:eastAsia="KoPubWorld바탕체_Pro Light" w:cs="KoPubWorld바탕체_Pro Light"/>
          <w:sz w:val="16"/>
        </w:rPr>
        <w:t>미국 안에서도 통화질서의 경계가 다시 그어졌다. 전쟁 중과 전후 초기에 연방준비제도는 정부의 낮은 차입비용을 지지하기 위해 국채 수익률을 억제했다. 그러나 인플레이션 압력이 커지자 재무부의 부채 관리와 중앙은행의 통화정책 사이에 충돌이 생겼다. 1951년 3월 4일 체결된 재무부·연준 협정은 국채 가격 지지 체제를 끝내고 연준이 통화정책을 독립적으로 운용할 토대를 마련했다.</w:t>
      </w:r>
      <w:r>
        <w:rPr>
          <w:rFonts w:ascii="KoPubWorld바탕체_Pro Light" w:hAnsi="KoPubWorld바탕체_Pro Light" w:eastAsia="KoPubWorld바탕체_Pro Light" w:cs="KoPubWorld바탕체_Pro Light"/>
          <w:sz w:val="14"/>
          <w:vertAlign w:val="superscript"/>
        </w:rPr>
        <w:t>63</w:t>
      </w:r>
    </w:p>
    <w:p>
      <w:pPr>
        <w:pStyle w:val="aff3"/>
        <w:spacing w:line="259" w:lineRule="auto"/>
      </w:pPr>
      <w:r>
        <w:rPr>
          <w:rFonts w:ascii="KoPubWorld바탕체_Pro Light" w:hAnsi="KoPubWorld바탕체_Pro Light" w:eastAsia="KoPubWorld바탕체_Pro Light" w:cs="KoPubWorld바탕체_Pro Light"/>
          <w:sz w:val="16"/>
        </w:rPr>
        <w:t>전후 금융질서는 따라서 국제적 합의만으로 유지된 것이 아니었다. 환율을 안정시키려면 각국 안에서 누가 금리를 결정하고, 재정의 필요와 물가 안정이 충돌할 때 무엇을 우선할지도 정해야 했다. 중앙은행 독립성은 추상적인 헌법 원리가 아니라 전쟁부채와 인플레이션 사이에서 나온 제도적 타협이었다.</w:t>
      </w:r>
      <w:r>
        <w:rPr>
          <w:rFonts w:ascii="KoPubWorld바탕체_Pro Light" w:hAnsi="KoPubWorld바탕체_Pro Light" w:eastAsia="KoPubWorld바탕체_Pro Light" w:cs="KoPubWorld바탕체_Pro Light"/>
          <w:sz w:val="14"/>
          <w:vertAlign w:val="superscript"/>
        </w:rPr>
        <w:t>63</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런던에서 생긴 달러의 우회로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질서가 안정되자 시장은 곧 경계의 빈틈을 찾았다. 1950년대 말 런던에서는 미국 밖에 예치된 달러, 이른바 유로달러가 거래되기 시작했다. 국제결제은행의 역사 연구에 따르면 시장은 1957년 무렵 모습을 드러냈고 1962년에는 런던의 은행 간 시장으로 자리 잡았다. 이 거래는 영국과 미국의 국내 규제 범위 바깥에서 성장했고, 1960년대 국제 금융의 중요한 자금원이 되었다.</w:t>
      </w:r>
      <w:r>
        <w:rPr>
          <w:rFonts w:ascii="KoPubWorld바탕체_Pro Light" w:hAnsi="KoPubWorld바탕체_Pro Light" w:eastAsia="KoPubWorld바탕체_Pro Light" w:cs="KoPubWorld바탕체_Pro Light"/>
          <w:sz w:val="14"/>
          <w:vertAlign w:val="superscript"/>
        </w:rPr>
        <w:t>64</w:t>
      </w:r>
    </w:p>
    <w:p>
      <w:pPr>
        <w:pStyle w:val="aff3"/>
        <w:spacing w:line="259" w:lineRule="auto"/>
      </w:pPr>
      <w:r>
        <w:rPr>
          <w:rFonts w:ascii="KoPubWorld바탕체_Pro Light" w:hAnsi="KoPubWorld바탕체_Pro Light" w:eastAsia="KoPubWorld바탕체_Pro Light" w:cs="KoPubWorld바탕체_Pro Light"/>
          <w:sz w:val="16"/>
        </w:rPr>
        <w:t>유로달러 시장은 기묘한 공간이었다. 통화는 미국의 달러였지만 예금은 미국 은행 규제의 직접적인 경계 밖에 있었다. 거래 장소는 런던이었지만 자금의 공급자와 차입자는 세계 각지에 흩어져 있었다. 어느 한 나라의 규칙으로 온전히 붙잡기 어려운 시장이 생긴 것이다. 은행은 예금금리 제한이나 준비금 부담을 우회할 수 있었고, 기업과 정부는 국내 시장보다 유연하게 달러를 조달했다.</w:t>
      </w:r>
    </w:p>
    <w:p>
      <w:pPr>
        <w:pStyle w:val="aff3"/>
        <w:spacing w:line="259" w:lineRule="auto"/>
      </w:pPr>
      <w:r>
        <w:rPr>
          <w:rFonts w:ascii="KoPubWorld바탕체_Pro Light" w:hAnsi="KoPubWorld바탕체_Pro Light" w:eastAsia="KoPubWorld바탕체_Pro Light" w:cs="KoPubWorld바탕체_Pro Light"/>
          <w:sz w:val="16"/>
        </w:rPr>
        <w:t>대차대조표에는 국경선이 그어져 있지 않다. 런던 지점이 받은 달러 예금은 다른 나라 은행에 다시 빌려주고, 그 은행은 또 다른 통화의 대출로 바꿀 수 있다. 법인은 나뉘어도 유동성은 그룹 안에서 움직인다. 예금자가 한꺼번에 상환을 요구하면 어느 중앙은행이 마지막 자금을 댈 것인지도 분명하지 않았다. 통화 발행국, 거래 소재국, 은행 본점 소재국의 책임이 갈라지는 구조는 이후 국제 은행위기에서 반복될 난제가 되었다.</w:t>
      </w:r>
      <w:r>
        <w:rPr>
          <w:rFonts w:ascii="KoPubWorld바탕체_Pro Light" w:hAnsi="KoPubWorld바탕체_Pro Light" w:eastAsia="KoPubWorld바탕체_Pro Light" w:cs="KoPubWorld바탕체_Pro Light"/>
          <w:sz w:val="14"/>
          <w:vertAlign w:val="superscript"/>
        </w:rPr>
        <w:t>64</w:t>
      </w:r>
    </w:p>
    <w:p>
      <w:pPr>
        <w:pStyle w:val="aff3"/>
        <w:spacing w:line="259" w:lineRule="auto"/>
      </w:pPr>
      <w:r>
        <w:rPr>
          <w:rFonts w:ascii="KoPubWorld바탕체_Pro Light" w:hAnsi="KoPubWorld바탕체_Pro Light" w:eastAsia="KoPubWorld바탕체_Pro Light" w:cs="KoPubWorld바탕체_Pro Light"/>
          <w:sz w:val="16"/>
        </w:rPr>
        <w:t>당시에는 이 우회로가 성장의 증거로 보일 여지도 컸다. 규제 밖 시장이 더 낮은 비용으로 자금을 연결하고, 달러 부족을 완화하며, 국제무역을 뒷받침했기 때문이다. 그러나 같은 유연성은 거래 규모와 상대방 위험을 공식 통계에서 놓치게 했다. 혁신이 효율을 높였다는 설명과 감독의 사각지대를 만들었다는 설명은 서로 배타적이지 않다. 하나의 상품이 두 효과를 동시에 낼 수 있다는 사실이 국제 금융규제를 어렵게 만든다.</w:t>
      </w:r>
    </w:p>
    <w:p>
      <w:pPr>
        <w:pStyle w:val="aff3"/>
        <w:spacing w:line="259" w:lineRule="auto"/>
      </w:pPr>
      <w:r>
        <w:rPr>
          <w:rFonts w:ascii="KoPubWorld바탕체_Pro Light" w:hAnsi="KoPubWorld바탕체_Pro Light" w:eastAsia="KoPubWorld바탕체_Pro Light" w:cs="KoPubWorld바탕체_Pro Light"/>
          <w:sz w:val="16"/>
        </w:rPr>
        <w:t>이 시장을 금융가의 꾀만으로 설명하면 절반만 본다. 달러가 세계의 결제·준비 통화가 되자 미국 밖에서도 달러를 보관하고 빌리려는 수요가 커졌다. 무역과 직접투자가 늘어나면서 국경을 넘는 금융도 필요해졌다. 규제의 틈은 수요가 없으면 시장이 되지 않는다. 반대로 수요가 강하면 단단해 보이는 경계도 우회로가 된다.</w:t>
      </w:r>
    </w:p>
    <w:p>
      <w:pPr>
        <w:pStyle w:val="aff3"/>
        <w:spacing w:line="259" w:lineRule="auto"/>
      </w:pPr>
      <w:r>
        <w:rPr>
          <w:rFonts w:ascii="KoPubWorld바탕체_Pro Light" w:hAnsi="KoPubWorld바탕체_Pro Light" w:eastAsia="KoPubWorld바탕체_Pro Light" w:cs="KoPubWorld바탕체_Pro Light"/>
          <w:sz w:val="16"/>
        </w:rPr>
        <w:t>중앙은행들은 처음에는 이를 국내 통화정책의 문제로 보았지만, 시간이 갈수록 은행 건전성과 국제적 유동성의 문제라는 점을 깨달았다. 한 나라가 규제를 강화하면 거래가 다른 금융센터로 옮겨갈 수 있었다. 규제 경쟁의 씨앗이 여기서 자랐다. 감독기관이 국내 대차대조표만 보는 동안 은행의 실제 위험은 여러 통화와 여러 법인에 나뉘어 쌓일 수 있었다.</w:t>
      </w:r>
      <w:r>
        <w:rPr>
          <w:rFonts w:ascii="KoPubWorld바탕체_Pro Light" w:hAnsi="KoPubWorld바탕체_Pro Light" w:eastAsia="KoPubWorld바탕체_Pro Light" w:cs="KoPubWorld바탕체_Pro Light"/>
          <w:sz w:val="14"/>
          <w:vertAlign w:val="superscript"/>
        </w:rPr>
        <w:t>64</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중심 통화가 짊어진 모순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브레턴우즈 체제는 달러가 충분해야 돌아갔다. 미국이 해외에 달러를 공급하려면 국제수지 적자를 감수해야 했다. 그러나 해외에 쌓인 달러가 미국의 금 보유에 비해 지나치게 많아지면 금 태환에 대한 신뢰가 흔들렸다. 세계가 필요로 하는 유동성을 공급할수록 그 유동성의 약속이 약해지는 모순이었다. 이 문제는 경제학자 로버트 트리핀의 이름을 따라 ‘트리핀 딜레마’로 불렸다.</w:t>
      </w:r>
      <w:r>
        <w:rPr>
          <w:rFonts w:ascii="KoPubWorld바탕체_Pro Light" w:hAnsi="KoPubWorld바탕체_Pro Light" w:eastAsia="KoPubWorld바탕체_Pro Light" w:cs="KoPubWorld바탕체_Pro Light"/>
          <w:sz w:val="14"/>
          <w:vertAlign w:val="superscript"/>
        </w:rPr>
        <w:t>65</w:t>
      </w:r>
    </w:p>
    <w:p>
      <w:pPr>
        <w:pStyle w:val="aff3"/>
        <w:spacing w:line="259" w:lineRule="auto"/>
      </w:pPr>
      <w:r>
        <w:rPr>
          <w:rFonts w:ascii="KoPubWorld바탕체_Pro Light" w:hAnsi="KoPubWorld바탕체_Pro Light" w:eastAsia="KoPubWorld바탕체_Pro Light" w:cs="KoPubWorld바탕체_Pro Light"/>
          <w:sz w:val="16"/>
        </w:rPr>
        <w:t>1960년대에는 미국의 해외 지출과 민간 자본 이동이 늘고, 유로달러 시장까지 팽창하면서 달러의 바깥 유통량이 커졌다. 각국 중앙은행이 달러를 금으로 바꾸려 할 때마다 미국의 금 보유는 줄었다. 미국은 자본 유출을 제한하고 국제 협조로 금 시장을 방어했지만, 세계 금융의 규모는 1944년 설계가 예상했던 틀보다 빠르게 커졌다.</w:t>
      </w:r>
      <w:r>
        <w:rPr>
          <w:rFonts w:ascii="KoPubWorld바탕체_Pro Light" w:hAnsi="KoPubWorld바탕체_Pro Light" w:eastAsia="KoPubWorld바탕체_Pro Light" w:cs="KoPubWorld바탕체_Pro Light"/>
          <w:sz w:val="14"/>
          <w:vertAlign w:val="superscript"/>
        </w:rPr>
        <w:t>65</w:t>
      </w:r>
    </w:p>
    <w:p>
      <w:pPr>
        <w:pStyle w:val="aff3"/>
        <w:spacing w:line="259" w:lineRule="auto"/>
      </w:pPr>
      <w:r>
        <w:rPr>
          <w:rFonts w:ascii="KoPubWorld바탕체_Pro Light" w:hAnsi="KoPubWorld바탕체_Pro Light" w:eastAsia="KoPubWorld바탕체_Pro Light" w:cs="KoPubWorld바탕체_Pro Light"/>
          <w:sz w:val="16"/>
        </w:rPr>
        <w:t>1971년 8월 15일, 리처드 닉슨 대통령은 달러의 금 태환을 중단했다. 같은 조치 묶음에는 임금·물가 통제와 수입 부과금도 포함됐다. 금 1온스당 35달러라는 중심 약속이 끊기면서 브레턴우즈 체제는 사실상 해체의 길로 들어섰다.</w:t>
      </w:r>
      <w:r>
        <w:rPr>
          <w:rFonts w:ascii="KoPubWorld바탕체_Pro Light" w:hAnsi="KoPubWorld바탕체_Pro Light" w:eastAsia="KoPubWorld바탕체_Pro Light" w:cs="KoPubWorld바탕체_Pro Light"/>
          <w:sz w:val="14"/>
          <w:vertAlign w:val="superscript"/>
        </w:rPr>
        <w:t>65</w:t>
      </w:r>
      <w:r>
        <w:rPr>
          <w:rFonts w:ascii="KoPubWorld바탕체_Pro Light" w:hAnsi="KoPubWorld바탕체_Pro Light" w:eastAsia="KoPubWorld바탕체_Pro Light" w:cs="KoPubWorld바탕체_Pro Light"/>
          <w:sz w:val="16"/>
        </w:rPr>
        <w:t xml:space="preserve"> 1973년 3월에는 주요 통화가 일반화된 변동환율로 이동했다.</w:t>
      </w:r>
      <w:r>
        <w:rPr>
          <w:rFonts w:ascii="KoPubWorld바탕체_Pro Light" w:hAnsi="KoPubWorld바탕체_Pro Light" w:eastAsia="KoPubWorld바탕체_Pro Light" w:cs="KoPubWorld바탕체_Pro Light"/>
          <w:sz w:val="14"/>
          <w:vertAlign w:val="superscript"/>
        </w:rPr>
        <w:t>66</w:t>
      </w:r>
    </w:p>
    <w:p>
      <w:pPr>
        <w:pStyle w:val="aff3"/>
        <w:spacing w:line="259" w:lineRule="auto"/>
      </w:pPr>
      <w:r>
        <w:rPr>
          <w:rFonts w:ascii="KoPubWorld바탕체_Pro Light" w:hAnsi="KoPubWorld바탕체_Pro Light" w:eastAsia="KoPubWorld바탕체_Pro Light" w:cs="KoPubWorld바탕체_Pro Light"/>
          <w:sz w:val="16"/>
        </w:rPr>
        <w:t>그 순간 모든 규제가 사라진 것은 아니었다. 자본 통제는 나라별로 남았고, 은행의 업무 규제도 계속됐다. 다만 국제 금융의 기준점이 바뀌었다. 이전의 질문이 “정해진 환율을 어떻게 지킬 것인가”였다면, 이후의 질문은 “움직이는 환율과 빠른 자본을 어떻게 견딜 것인가”가 되었다. 가격을 고정하는 규율은 위험을 측정하고 흡수하는 규율로 천천히 자리를 내주기 시작했다.</w:t>
      </w:r>
      <w:r>
        <w:rPr>
          <w:rFonts w:ascii="KoPubWorld바탕체_Pro Light" w:hAnsi="KoPubWorld바탕체_Pro Light" w:eastAsia="KoPubWorld바탕체_Pro Light" w:cs="KoPubWorld바탕체_Pro Light"/>
          <w:sz w:val="14"/>
          <w:vertAlign w:val="superscript"/>
        </w:rPr>
        <w:t>65,66</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질서가 남긴 두 개의 교훈</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전후 질서는 종종 안정의 황금기로 회상된다. 실제로 자본 이동이 제한된 환경에서는 국내 정책이 국제 금융시장의 즉각적인 심판을 덜 받았다. 환율의 예측 가능성은 무역과 복구에 도움을 주었다. 그러나 안정은 시장의 힘이 약해서 저절로 생긴 것이 아니었다. 외환 통제, 공적 신용 배분, 중앙은행 협력, 다자간 결제라는 두꺼운 제도 층이 그것을 지탱했다.</w:t>
      </w:r>
    </w:p>
    <w:p>
      <w:pPr>
        <w:pStyle w:val="aff3"/>
        <w:spacing w:line="259" w:lineRule="auto"/>
      </w:pPr>
      <w:r>
        <w:rPr>
          <w:rFonts w:ascii="KoPubWorld바탕체_Pro Light" w:hAnsi="KoPubWorld바탕체_Pro Light" w:eastAsia="KoPubWorld바탕체_Pro Light" w:cs="KoPubWorld바탕체_Pro Light"/>
          <w:sz w:val="16"/>
        </w:rPr>
        <w:t>동시에 이 질서는 자신의 성공으로 경계를 약화시켰다. 무역이 늘고 기업이 다국적화되자 더 많은 국제 자금이 필요해졌다. 달러가 세계 통화가 되자 미국 밖의 달러 시장이 생겼다. 규제가 안정과 성장을 가능하게 했고, 그 성장이 다시 규제를 우회할 유인을 키웠다. 제도는 실패해서만 무너지지 않는다. 제도가 만든 새로운 행동을 충분히 흡수하지 못할 때도 낡는다.</w:t>
      </w:r>
    </w:p>
    <w:p>
      <w:pPr>
        <w:pStyle w:val="aff3"/>
        <w:spacing w:line="259" w:lineRule="auto"/>
      </w:pPr>
      <w:r>
        <w:rPr>
          <w:rFonts w:ascii="KoPubWorld바탕체_Pro Light" w:hAnsi="KoPubWorld바탕체_Pro Light" w:eastAsia="KoPubWorld바탕체_Pro Light" w:cs="KoPubWorld바탕체_Pro Light"/>
          <w:sz w:val="16"/>
        </w:rPr>
        <w:t>첫 번째 교훈은 자본 이동의 속도와 국내 정책의 자율성 사이에는 언제나 대가가 있다는 것이다. 두 번째 교훈은 국제 통화와 금융의 위험을 한 나라의 감독만으로 관리하기 어렵다는 것이다. 1970년대 이후 각국은 경계를 낮추기 시작했지만 감독은 여전히 국경 안에 머물렀다. 다음 시대의 위기는 바로 그 시차에서 태어날 것이었다.</w:t>
      </w:r>
      <w:r>
        <w:rPr>
          <w:rFonts w:ascii="KoPubWorld바탕체_Pro Light" w:hAnsi="KoPubWorld바탕체_Pro Light" w:eastAsia="KoPubWorld바탕체_Pro Light" w:cs="KoPubWorld바탕체_Pro Light"/>
          <w:sz w:val="14"/>
          <w:vertAlign w:val="superscript"/>
        </w:rPr>
        <w:t>65,64</w:t>
      </w:r>
    </w:p>
    <w:p>
      <w:pPr>
        <w:pStyle w:val="aff3"/>
        <w:spacing w:line="259" w:lineRule="auto"/>
      </w:pPr>
      <w:r>
        <w:rPr>
          <w:rFonts w:ascii="KoPubWorld바탕체_Pro Light" w:hAnsi="KoPubWorld바탕체_Pro Light" w:eastAsia="KoPubWorld바탕체_Pro Light" w:cs="KoPubWorld바탕체_Pro Light"/>
          <w:sz w:val="16"/>
        </w:rPr>
        <w:t>브레턴우즈의 붕괴를 규제가 시장에 패배한 사건이라고만 읽으면 중요한 부분을 놓친다. 체제는 20여 년 동안 재건과 무역 확대를 위한 안정된 틀을 제공했고, 그 과정에서 국제 거래의 규모 자체를 키웠다. 반대로 영원한 청사진이었다고 평가하면 달러 중심 구조의 부담과 우회 시장의 성장을 외면하게 된다. 더 정확한 평가는 이렇다. 규칙은 특정 시대의 문제를 해결했지만, 그 해결이 다음 시대의 문제를 만들었다. 금융규제의 작은 역사는 이 반복을 기억하는 일이다.</w:t>
      </w:r>
      <w:r>
        <w:rPr>
          <w:rFonts w:ascii="KoPubWorld바탕체_Pro Light" w:hAnsi="KoPubWorld바탕체_Pro Light" w:eastAsia="KoPubWorld바탕체_Pro Light" w:cs="KoPubWorld바탕체_Pro Light"/>
          <w:sz w:val="14"/>
          <w:vertAlign w:val="superscript"/>
        </w:rPr>
        <w:t>61,65</w:t>
      </w:r>
    </w:p>
    <w:p>
      <w:pPr>
        <w:pStyle w:val="aff3"/>
        <w:spacing w:line="259" w:lineRule="auto"/>
      </w:pPr>
      <w:r>
        <w:rPr>
          <w:rFonts w:ascii="KoPubWorld바탕체_Pro Light" w:hAnsi="KoPubWorld바탕체_Pro Light" w:eastAsia="KoPubWorld바탕체_Pro Light" w:cs="KoPubWorld바탕체_Pro Light"/>
          <w:sz w:val="16"/>
        </w:rPr>
        <w:t>그 반복에서 중요한 것은 과거 제도를 그대로 복원하는 일이 아니다. 당시의 자본 통제와 환율 약속은 당시의 무역·기술·정치 조건에서 작동했다. 오늘의 질문은 그 장치를 베끼는 것이 아니라, 국내 안정과 국제 이동 사이의 선택을 다시 투명하게 만드는 것이다.</w:t>
      </w:r>
    </w:p>
    <w:p>
      <w:pPr>
        <w:pStyle w:val="aff2"/>
        <w:pageBreakBefore/>
        <w:spacing w:before="440"/>
        <w:jc w:val="center"/>
      </w:pPr>
      <w:r>
        <w:rPr>
          <w:rFonts w:ascii="KoPubWorld바탕체_Pro Bold" w:hAnsi="KoPubWorld바탕체_Pro Bold" w:eastAsia="KoPubWorld바탕체_Pro Bold" w:cs="KoPubWorld바탕체_Pro Bold"/>
          <w:b/>
          <w:sz w:val="24"/>
        </w:rPr>
        <w:t>Chapter. 15</w:t>
      </w:r>
    </w:p>
    <w:p>
      <w:pPr>
        <w:pStyle w:val="aff1"/>
        <w:jc w:val="center"/>
      </w:pPr>
      <w:r>
        <w:rPr>
          <w:rFonts w:ascii="KoPubWorld바탕체_Pro Bold" w:hAnsi="KoPubWorld바탕체_Pro Bold" w:eastAsia="KoPubWorld바탕체_Pro Bold" w:cs="KoPubWorld바탕체_Pro Bold"/>
          <w:b/>
          <w:sz w:val="28"/>
        </w:rPr>
        <w:t>장벽을 허문 시장, 감독은 국경에 남다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1986년 10월 27일 월요일, 런던 증권거래소의 오래된 거래 관행이 한꺼번에 바뀌었다. 거래 수수료는 더 이상 고정되지 않았고, 고객 주문을 받는 브로커와 자기 계정으로 호가를 내는 조버의 칸막이도 사라졌다. 영국 밖의 금융회사와 큰 자본을 가진 은행이 회원사를 인수하거나 시장에 진입할 길이 열렸다. 훗날 ‘빅뱅’이라 불린 이 개혁은 경쟁을 늘리고 거래비용을 낮추며 시장 유동성을 키우려 했다.</w:t>
      </w:r>
      <w:r>
        <w:rPr>
          <w:rFonts w:ascii="KoPubWorld바탕체_Pro Light" w:hAnsi="KoPubWorld바탕체_Pro Light" w:eastAsia="KoPubWorld바탕체_Pro Light" w:cs="KoPubWorld바탕체_Pro Light"/>
          <w:sz w:val="14"/>
          <w:vertAlign w:val="superscript"/>
        </w:rPr>
        <w:t>67</w:t>
      </w:r>
    </w:p>
    <w:p>
      <w:pPr>
        <w:pStyle w:val="aff3"/>
        <w:spacing w:line="259" w:lineRule="auto"/>
      </w:pPr>
      <w:r>
        <w:rPr>
          <w:rFonts w:ascii="KoPubWorld바탕체_Pro Light" w:hAnsi="KoPubWorld바탕체_Pro Light" w:eastAsia="KoPubWorld바탕체_Pro Light" w:cs="KoPubWorld바탕체_Pro Light"/>
          <w:sz w:val="16"/>
        </w:rPr>
        <w:t>화면과 전화가 거래소의 얼굴을 바꾸는 동안, 런던의 금융인은 해방감을 느꼈다. 그러나 영란은행 총재는 개혁을 앞두고 경쟁이 커지면 위험과 이해상충도 커질 수 있으므로 투자자 보호와 감독을 강화해야 한다고 경고했다.</w:t>
      </w:r>
      <w:r>
        <w:rPr>
          <w:rFonts w:ascii="KoPubWorld바탕체_Pro Light" w:hAnsi="KoPubWorld바탕체_Pro Light" w:eastAsia="KoPubWorld바탕체_Pro Light" w:cs="KoPubWorld바탕체_Pro Light"/>
          <w:sz w:val="14"/>
          <w:vertAlign w:val="superscript"/>
        </w:rPr>
        <w:t>68</w:t>
      </w:r>
      <w:r>
        <w:rPr>
          <w:rFonts w:ascii="KoPubWorld바탕체_Pro Light" w:hAnsi="KoPubWorld바탕체_Pro Light" w:eastAsia="KoPubWorld바탕체_Pro Light" w:cs="KoPubWorld바탕체_Pro Light"/>
          <w:sz w:val="16"/>
        </w:rPr>
        <w:t xml:space="preserve"> 자유화는 규제의 반대말이 아니었다. 낡은 규칙을 없애는 순간, 더 복잡한 행위 규칙과 건전성 감독이 필요해지는 역설이었다.</w:t>
      </w:r>
    </w:p>
    <w:p>
      <w:pPr>
        <w:pStyle w:val="aff3"/>
        <w:spacing w:line="259" w:lineRule="auto"/>
      </w:pPr>
      <w:r>
        <w:rPr>
          <w:rFonts w:ascii="KoPubWorld바탕체_Pro Light" w:hAnsi="KoPubWorld바탕체_Pro Light" w:eastAsia="KoPubWorld바탕체_Pro Light" w:cs="KoPubWorld바탕체_Pro Light"/>
          <w:sz w:val="16"/>
        </w:rPr>
        <w:t>빅뱅은 한 도시의 사건이었지만 시대의 방향을 응축했다. 1970년대의 인플레이션과 변동환율, 국제 자본의 팽창, 정보통신 기술의 발전은 국내에 갇힌 금융제도를 압박했다. 예금금리를 정하고 업무 범위를 나누며 외환 거래를 통제하던 체제는 우회 거래 앞에서 효력을 잃어갔다. 정책당국은 장벽을 유지하면 자금이 해외로 빠지고 금융센터가 쇠퇴할 것을 걱정했다. 그렇게 금융규제의 언어는 ‘억제’에서 ‘경쟁’으로 이동했다.</w:t>
      </w:r>
      <w:r>
        <w:rPr>
          <w:rFonts w:ascii="KoPubWorld바탕체_Pro Light" w:hAnsi="KoPubWorld바탕체_Pro Light" w:eastAsia="KoPubWorld바탕체_Pro Light" w:cs="KoPubWorld바탕체_Pro Light"/>
          <w:sz w:val="14"/>
          <w:vertAlign w:val="superscript"/>
        </w:rPr>
        <w:t>67,69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금리 상한이 시장을 밀어내다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전후 규제는 은행을 안정시키는 대신 경쟁을 제한했다. 하지만 시장금리가 행정적으로 정한 예금금리 상한을 훌쩍 넘으면 예금자는 더 높은 수익을 찾아 다른 상품으로 이동한다. 은행과 저축대부조합은 자금을 잃고, 규제 밖의 시장성 상품이 성장한다. 규칙은 남아 있어도 돈이 그 규칙을 떠나는 ‘탈중개’가 일어났다.</w:t>
      </w:r>
    </w:p>
    <w:p>
      <w:pPr>
        <w:pStyle w:val="aff3"/>
        <w:spacing w:line="259" w:lineRule="auto"/>
      </w:pPr>
      <w:r>
        <w:rPr>
          <w:rFonts w:ascii="KoPubWorld바탕체_Pro Light" w:hAnsi="KoPubWorld바탕체_Pro Light" w:eastAsia="KoPubWorld바탕체_Pro Light" w:cs="KoPubWorld바탕체_Pro Light"/>
          <w:sz w:val="16"/>
        </w:rPr>
        <w:t>미국 의회는 1980년 예금취급기관 규제완화 및 통화통제법을 제정했다. 이 법은 예금금리 상한을 단계적으로 없애는 절차를 만들고, 이자를 주는 거래성 계좌의 범위를 넓혔다. 동시에 연준의 지급준비 제도를 더 넓은 예금취급기관에 적용하는 등 경쟁 조건을 정비했다.</w:t>
      </w:r>
      <w:r>
        <w:rPr>
          <w:rFonts w:ascii="KoPubWorld바탕체_Pro Light" w:hAnsi="KoPubWorld바탕체_Pro Light" w:eastAsia="KoPubWorld바탕체_Pro Light" w:cs="KoPubWorld바탕체_Pro Light"/>
          <w:sz w:val="14"/>
          <w:vertAlign w:val="superscript"/>
        </w:rPr>
        <w:t>69</w:t>
      </w:r>
      <w:r>
        <w:rPr>
          <w:rFonts w:ascii="KoPubWorld바탕체_Pro Light" w:hAnsi="KoPubWorld바탕체_Pro Light" w:eastAsia="KoPubWorld바탕체_Pro Light" w:cs="KoPubWorld바탕체_Pro Light"/>
          <w:sz w:val="16"/>
        </w:rPr>
        <w:t xml:space="preserve"> 규제완화라는 이름 아래 시장의 가격 기능을 되살리는 조치와 공적 안전망의 적용 범위를 재설계하는 조치가 함께 들어 있었다.</w:t>
      </w:r>
    </w:p>
    <w:p>
      <w:pPr>
        <w:pStyle w:val="aff3"/>
        <w:spacing w:line="259" w:lineRule="auto"/>
      </w:pPr>
      <w:r>
        <w:rPr>
          <w:rFonts w:ascii="KoPubWorld바탕체_Pro Light" w:hAnsi="KoPubWorld바탕체_Pro Light" w:eastAsia="KoPubWorld바탕체_Pro Light" w:cs="KoPubWorld바탕체_Pro Light"/>
          <w:sz w:val="16"/>
        </w:rPr>
        <w:t>문제는 가격 규제를 풀면 기관이 더 위험한 수익을 좇을 수 있다는 점이었다. 1982년의 간–세인트저메인 예금취급기관법은 곤경에 빠진 저축대부조합에 새로운 수익원을 열어 주려는 목적에서 자산 운용 권한을 확대했다. 그러나 약한 자본, 느슨해진 회계·감독, 중개예금, 확대된 투자 권한이 결합하면서 손실을 숨긴 기관이 더 큰 위험을 쌓을 수 있었다.</w:t>
      </w:r>
      <w:r>
        <w:rPr>
          <w:rFonts w:ascii="KoPubWorld바탕체_Pro Light" w:hAnsi="KoPubWorld바탕체_Pro Light" w:eastAsia="KoPubWorld바탕체_Pro Light" w:cs="KoPubWorld바탕체_Pro Light"/>
          <w:sz w:val="14"/>
          <w:vertAlign w:val="superscript"/>
        </w:rPr>
        <w:t>70</w:t>
      </w:r>
    </w:p>
    <w:p>
      <w:pPr>
        <w:pStyle w:val="aff3"/>
        <w:spacing w:line="259" w:lineRule="auto"/>
      </w:pPr>
      <w:r>
        <w:rPr>
          <w:rFonts w:ascii="KoPubWorld바탕체_Pro Light" w:hAnsi="KoPubWorld바탕체_Pro Light" w:eastAsia="KoPubWorld바탕체_Pro Light" w:cs="KoPubWorld바탕체_Pro Light"/>
          <w:sz w:val="16"/>
        </w:rPr>
        <w:t>미국의 저축대부조합 위기는 규제완화의 단순한 유죄 판결도, 금리 충격만의 결과도 아니었다. 단기 예금으로 장기 고정금리 주택대출을 보유한 구조는 금리가 급등하자 이미 흔들렸다. 손실을 즉시 정리할 재원과 정치적 의지가 부족한 가운데, 영업 범위 확대와 감독 유예가 회복의 기회가 아니라 손실 확대의 시간이 되었다. 가격 통제를 폐지하는 일과 부실 기관을 퇴출시키는 일은 별개의 과제였다. 첫 번째만 하고 두 번째를 미루면 경쟁은 효율보다 도박을 키울 수 있다.</w:t>
      </w:r>
    </w:p>
    <w:p>
      <w:pPr>
        <w:pStyle w:val="aff3"/>
        <w:spacing w:line="259" w:lineRule="auto"/>
      </w:pPr>
      <w:r>
        <w:rPr>
          <w:rFonts w:ascii="KoPubWorld바탕체_Pro Light" w:hAnsi="KoPubWorld바탕체_Pro Light" w:eastAsia="KoPubWorld바탕체_Pro Light" w:cs="KoPubWorld바탕체_Pro Light"/>
          <w:sz w:val="16"/>
        </w:rPr>
        <w:t>부실 기관의 주주에게는 위험한 선택을 할 유인이 생겼다. 이미 자본이 거의 사라졌다면 안전하게 영업해도 회복 가능성은 낮지만, 고수익 사업이 성공하면 살아남을 수 있다. 실패해도 손실의 상당 부분은 예금보험과 공공부문이 떠안을 수 있다. 이를 막으려면 자본 기준, 조기 개입, 손실의 투명한 인식이 자유화보다 앞서거나 적어도 함께 가야 한다. 미국의 경험은 규제의 양보다 순서가 중요하다는 사실을 보여주었다.</w:t>
      </w:r>
      <w:r>
        <w:rPr>
          <w:rFonts w:ascii="KoPubWorld바탕체_Pro Light" w:hAnsi="KoPubWorld바탕체_Pro Light" w:eastAsia="KoPubWorld바탕체_Pro Light" w:cs="KoPubWorld바탕체_Pro Light"/>
          <w:sz w:val="14"/>
          <w:vertAlign w:val="superscript"/>
        </w:rPr>
        <w:t>70</w:t>
      </w:r>
    </w:p>
    <w:p>
      <w:pPr>
        <w:pStyle w:val="aff3"/>
        <w:spacing w:line="259" w:lineRule="auto"/>
      </w:pPr>
      <w:r>
        <w:rPr>
          <w:rFonts w:ascii="KoPubWorld바탕체_Pro Light" w:hAnsi="KoPubWorld바탕체_Pro Light" w:eastAsia="KoPubWorld바탕체_Pro Light" w:cs="KoPubWorld바탕체_Pro Light"/>
          <w:sz w:val="16"/>
        </w:rPr>
        <w:t>규제완화 지지자들은 위기의 뿌리가 오래된 금리 규제와 자산·부채 만기 불일치에 있었다고 본다. 비판자들은 그 문제를 해결한다며 권한을 넓히고 감독을 늦춘 선택이 손실을 증폭했다고 본다. 둘 중 하나만 택할 필요는 없다. 낡은 규칙은 기관을 취약하게 만들었고, 안전장치 없는 전환은 취약한 기관에 더 큰 도박판을 제공했다. 정책 실패는 종종 ‘규제가 많았는가 적었는가’가 아니라 서로 맞지 않는 규칙들이 겹친 데서 나온다.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런던의 빅뱅과 새 감독의 탄생</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영국은 1979년 외환 통제를 철폐했고, 이어 1986년 빅뱅으로 증권시장의 진입과 가격 경쟁을 넓혔다.</w:t>
      </w:r>
      <w:r>
        <w:rPr>
          <w:rFonts w:ascii="KoPubWorld바탕체_Pro Light" w:hAnsi="KoPubWorld바탕체_Pro Light" w:eastAsia="KoPubWorld바탕체_Pro Light" w:cs="KoPubWorld바탕체_Pro Light"/>
          <w:sz w:val="14"/>
          <w:vertAlign w:val="superscript"/>
        </w:rPr>
        <w:t>67</w:t>
      </w:r>
      <w:r>
        <w:rPr>
          <w:rFonts w:ascii="KoPubWorld바탕체_Pro Light" w:hAnsi="KoPubWorld바탕체_Pro Light" w:eastAsia="KoPubWorld바탕체_Pro Light" w:cs="KoPubWorld바탕체_Pro Light"/>
          <w:sz w:val="16"/>
        </w:rPr>
        <w:t xml:space="preserve"> 전통적인 파트너십 형태의 중개회사는 대형 은행과 외국계 금융그룹에 인수되었다. 거래소의 배타적인 회원제는 국제 자본을 끌어들이는 플랫폼으로 변했다. 런던은 뉴욕·도쿄와 겨루는 세계 금융센터의 위치를 강화했다.</w:t>
      </w:r>
    </w:p>
    <w:p>
      <w:pPr>
        <w:pStyle w:val="aff3"/>
        <w:spacing w:line="259" w:lineRule="auto"/>
      </w:pPr>
      <w:r>
        <w:rPr>
          <w:rFonts w:ascii="KoPubWorld바탕체_Pro Light" w:hAnsi="KoPubWorld바탕체_Pro Light" w:eastAsia="KoPubWorld바탕체_Pro Light" w:cs="KoPubWorld바탕체_Pro Light"/>
          <w:sz w:val="16"/>
        </w:rPr>
        <w:t>빅뱅과 같은 해 제정된 금융서비스법은 투자업 규제의 법적 틀을 다시 짰다. 법은 투자업을 영위하기 위한 인가, 자율규제기구, 투자자 보호 장치를 포괄하는 체계를 세웠다.</w:t>
      </w:r>
      <w:r>
        <w:rPr>
          <w:rFonts w:ascii="KoPubWorld바탕체_Pro Light" w:hAnsi="KoPubWorld바탕체_Pro Light" w:eastAsia="KoPubWorld바탕체_Pro Light" w:cs="KoPubWorld바탕체_Pro Light"/>
          <w:sz w:val="14"/>
          <w:vertAlign w:val="superscript"/>
        </w:rPr>
        <w:t>71</w:t>
      </w:r>
      <w:r>
        <w:rPr>
          <w:rFonts w:ascii="KoPubWorld바탕체_Pro Light" w:hAnsi="KoPubWorld바탕체_Pro Light" w:eastAsia="KoPubWorld바탕체_Pro Light" w:cs="KoPubWorld바탕체_Pro Light"/>
          <w:sz w:val="16"/>
        </w:rPr>
        <w:t xml:space="preserve"> 경쟁을 늘리기 위해 시장구조 규제를 걷어내면서, 판매 행위와 기관의 적격성을 통제하는 규칙을 새로 만든 셈이다.</w:t>
      </w:r>
    </w:p>
    <w:p>
      <w:pPr>
        <w:pStyle w:val="aff3"/>
        <w:spacing w:line="259" w:lineRule="auto"/>
      </w:pPr>
      <w:r>
        <w:rPr>
          <w:rFonts w:ascii="KoPubWorld바탕체_Pro Light" w:hAnsi="KoPubWorld바탕체_Pro Light" w:eastAsia="KoPubWorld바탕체_Pro Light" w:cs="KoPubWorld바탕체_Pro Light"/>
          <w:sz w:val="16"/>
        </w:rPr>
        <w:t>그러나 감독의 구조는 시장보다 느리게 통합되었다. 금융그룹은 은행·증권·보험을 한 지붕 아래 모았고 여러 나라의 법인을 연결했지만, 감독기관은 업권과 국경에 따라 나뉘어 있었다. 한 그룹 안에서 위험이 옮겨 다니면 어느 감독자가 전체 그림을 책임지는지 모호했다. 시장은 통합되는데 감독은 분절된 상태가 1990년대의 기본 긴장이 되었다.</w:t>
      </w:r>
      <w:r>
        <w:rPr>
          <w:rFonts w:ascii="KoPubWorld바탕체_Pro Light" w:hAnsi="KoPubWorld바탕체_Pro Light" w:eastAsia="KoPubWorld바탕체_Pro Light" w:cs="KoPubWorld바탕체_Pro Light"/>
          <w:sz w:val="14"/>
          <w:vertAlign w:val="superscript"/>
        </w:rPr>
        <w:t>67,72</w:t>
      </w:r>
    </w:p>
    <w:p>
      <w:pPr>
        <w:pStyle w:val="aff3"/>
        <w:spacing w:line="259" w:lineRule="auto"/>
      </w:pPr>
      <w:r>
        <w:rPr>
          <w:rFonts w:ascii="KoPubWorld바탕체_Pro Light" w:hAnsi="KoPubWorld바탕체_Pro Light" w:eastAsia="KoPubWorld바탕체_Pro Light" w:cs="KoPubWorld바탕체_Pro Light"/>
          <w:sz w:val="16"/>
        </w:rPr>
        <w:t>빅뱅이 경쟁을 촉진했다는 평가와 단기 성과에 매달리는 문화를 키웠다는 평가는 동시에 성립할 수 있다. 낮아진 수수료와 더 깊어진 유동성은 실제 편익이었다. 반면 대규모 거래와 복잡한 상품, 성과급 중심의 보상은 작은 판단 오류를 조직 전체의 손실로 확대할 가능성을 높였다. 규제의 성패는 ‘풀었는가, 묶었는가’가 아니라 새 경쟁이 낳은 위험을 얼마나 빨리 포착했는가로 판단해야 한다.</w:t>
      </w:r>
    </w:p>
    <w:p>
      <w:pPr>
        <w:pStyle w:val="aff3"/>
        <w:spacing w:line="259" w:lineRule="auto"/>
      </w:pPr>
      <w:r>
        <w:rPr>
          <w:rFonts w:ascii="KoPubWorld바탕체_Pro Light" w:hAnsi="KoPubWorld바탕체_Pro Light" w:eastAsia="KoPubWorld바탕체_Pro Light" w:cs="KoPubWorld바탕체_Pro Light"/>
          <w:sz w:val="16"/>
        </w:rPr>
        <w:t>개혁 전의 규제는 누가 거래소 회원이 될 수 있고 얼마의 수수료를 받을지를 직접 정했다. 개혁 뒤의 규제는 금융회사가 고객에게 위험을 어떻게 설명하고, 자기자본을 얼마나 보유하며, 이해상충을 어떻게 통제할지를 물었다. 전자는 시장의 구조를 고정하는 규제이고 후자는 경쟁 속 행위를 관리하는 규제다. 빅뱅은 규제가 사라진 사건이라기보다 규제 대상이 ‘가격과 신분’에서 ‘위험과 행위’로 옮겨간 사건이었다.</w:t>
      </w:r>
    </w:p>
    <w:p>
      <w:pPr>
        <w:pStyle w:val="aff3"/>
        <w:spacing w:line="259" w:lineRule="auto"/>
      </w:pPr>
      <w:r>
        <w:rPr>
          <w:rFonts w:ascii="KoPubWorld바탕체_Pro Light" w:hAnsi="KoPubWorld바탕체_Pro Light" w:eastAsia="KoPubWorld바탕체_Pro Light" w:cs="KoPubWorld바탕체_Pro Light"/>
          <w:sz w:val="16"/>
        </w:rPr>
        <w:t>이 이동은 감독기관의 능력에 더 큰 부담을 주었다. 정해진 수수료를 어겼는지는 비교적 쉽게 확인할 수 있지만, 복합 금융그룹의 위험을 측정하려면 거래 자료와 전문 인력, 다른 나라 감독자와의 협력이 필요하다. 단순한 금지 규칙을 없앤 뒤에는 더 많은 판단이 필요했다. 시장친화적 규제는 작은 정부와 같은 말이 아니었다. 오히려 더 정교하고 정보 집약적인 국가를 요구했다.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유럽은 금융의 여권을 만들다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자유화는 국내 개혁에 그치지 않았다. 경제협력개발기구는 1961년 자본이동 자유화 규약을 채택해 회원국이 단계적으로 제한을 줄이도록 했다. 이 규약은 즉각적이고 무조건적인 개방보다 유보와 예외, 동료 검토를 통한 점진적 자유화를 허용했다.</w:t>
      </w:r>
      <w:r>
        <w:rPr>
          <w:rFonts w:ascii="KoPubWorld바탕체_Pro Light" w:hAnsi="KoPubWorld바탕체_Pro Light" w:eastAsia="KoPubWorld바탕체_Pro Light" w:cs="KoPubWorld바탕체_Pro Light"/>
          <w:sz w:val="14"/>
          <w:vertAlign w:val="superscript"/>
        </w:rPr>
        <w:t>73</w:t>
      </w:r>
      <w:r>
        <w:rPr>
          <w:rFonts w:ascii="KoPubWorld바탕체_Pro Light" w:hAnsi="KoPubWorld바탕체_Pro Light" w:eastAsia="KoPubWorld바탕체_Pro Light" w:cs="KoPubWorld바탕체_Pro Light"/>
          <w:sz w:val="16"/>
        </w:rPr>
        <w:t xml:space="preserve"> 자유화가 방향이라면 속도와 안전장치는 국가마다 다를 수 있다는 설계였다.</w:t>
      </w:r>
    </w:p>
    <w:p>
      <w:pPr>
        <w:pStyle w:val="aff3"/>
        <w:spacing w:line="259" w:lineRule="auto"/>
      </w:pPr>
      <w:r>
        <w:rPr>
          <w:rFonts w:ascii="KoPubWorld바탕체_Pro Light" w:hAnsi="KoPubWorld바탕체_Pro Light" w:eastAsia="KoPubWorld바탕체_Pro Light" w:cs="KoPubWorld바탕체_Pro Light"/>
          <w:sz w:val="16"/>
        </w:rPr>
        <w:t>유럽공동체의 두 번째 은행지침은 1989년 채택되었다. 한 회원국에서 인가받은 신용기관이 다른 회원국에서도 지점이나 서비스 형태로 영업할 수 있게 하는 단일 인가의 토대를 만들고, 원칙적으로 본국 감독기관이 건전성 감독의 중심을 맡도록 했다.</w:t>
      </w:r>
      <w:r>
        <w:rPr>
          <w:rFonts w:ascii="KoPubWorld바탕체_Pro Light" w:hAnsi="KoPubWorld바탕체_Pro Light" w:eastAsia="KoPubWorld바탕체_Pro Light" w:cs="KoPubWorld바탕체_Pro Light"/>
          <w:sz w:val="14"/>
          <w:vertAlign w:val="superscript"/>
        </w:rPr>
        <w:t>72</w:t>
      </w:r>
      <w:r>
        <w:rPr>
          <w:rFonts w:ascii="KoPubWorld바탕체_Pro Light" w:hAnsi="KoPubWorld바탕체_Pro Light" w:eastAsia="KoPubWorld바탕체_Pro Light" w:cs="KoPubWorld바탕체_Pro Light"/>
          <w:sz w:val="16"/>
        </w:rPr>
        <w:t xml:space="preserve"> 금융회사는 하나의 ‘여권’으로 더 넓은 시장에 접근할 수 있게 되었다.</w:t>
      </w:r>
    </w:p>
    <w:p>
      <w:pPr>
        <w:pStyle w:val="aff3"/>
        <w:spacing w:line="259" w:lineRule="auto"/>
      </w:pPr>
      <w:r>
        <w:rPr>
          <w:rFonts w:ascii="KoPubWorld바탕체_Pro Light" w:hAnsi="KoPubWorld바탕체_Pro Light" w:eastAsia="KoPubWorld바탕체_Pro Light" w:cs="KoPubWorld바탕체_Pro Light"/>
          <w:sz w:val="16"/>
        </w:rPr>
        <w:t>이 제도는 중복 인가 비용을 줄이고 유럽 금융 통합을 촉진했다. 동시에 상호신뢰를 규제 인프라로 삼았다. 진입을 허용한 현지 당국은 본국 감독자가 제대로 감시할 것이라고 믿어야 했고, 본국 당국은 해외 지점의 상황을 충분히 파악해야 했다. 규제 수준이 다른 나라 사이에서 가장 느슨한 규칙을 찾는 행위가 생길 수 있으므로 최소 기준과 정보 공유가 필수였다.</w:t>
      </w:r>
      <w:r>
        <w:rPr>
          <w:rFonts w:ascii="KoPubWorld바탕체_Pro Light" w:hAnsi="KoPubWorld바탕체_Pro Light" w:eastAsia="KoPubWorld바탕체_Pro Light" w:cs="KoPubWorld바탕체_Pro Light"/>
          <w:sz w:val="14"/>
          <w:vertAlign w:val="superscript"/>
        </w:rPr>
        <w:t>72</w:t>
      </w:r>
    </w:p>
    <w:p>
      <w:pPr>
        <w:pStyle w:val="aff3"/>
        <w:spacing w:line="259" w:lineRule="auto"/>
      </w:pPr>
      <w:r>
        <w:rPr>
          <w:rFonts w:ascii="KoPubWorld바탕체_Pro Light" w:hAnsi="KoPubWorld바탕체_Pro Light" w:eastAsia="KoPubWorld바탕체_Pro Light" w:cs="KoPubWorld바탕체_Pro Light"/>
          <w:sz w:val="16"/>
        </w:rPr>
        <w:t>단일 여권은 국경을 없앤 것이 아니라 국경의 기능을 바꾸었다. 이전에는 국경에서 영업을 막았다면, 이후에는 감독 책임과 정보의 이동을 조정해야 했다. 문턱 규제는 낮아지고 지속적인 감독의 중요성은 커졌다. 금융규제가 허가증 중심에서 네트워크 관리로 변하는 순간이었다.</w:t>
      </w:r>
    </w:p>
    <w:p>
      <w:pPr>
        <w:pStyle w:val="aff3"/>
        <w:spacing w:line="259" w:lineRule="auto"/>
      </w:pPr>
      <w:r>
        <w:rPr>
          <w:rFonts w:ascii="KoPubWorld바탕체_Pro Light" w:hAnsi="KoPubWorld바탕체_Pro Light" w:eastAsia="KoPubWorld바탕체_Pro Light" w:cs="KoPubWorld바탕체_Pro Light"/>
          <w:sz w:val="16"/>
        </w:rPr>
        <w:t>본국 감독 원칙에는 효율과 취약성이 함께 있었다. 그룹 전체의 자본과 위험을 본점 소재국이 통합해서 보면 중복을 줄일 수 있다. 그러나 현지 시장의 예금자와 기업은 위기 때 본국 감독자의 우선순위가 자신들과 같을 것이라고 확신하기 어렵다. 해외 지점의 자금이 본점으로 이동하거나 본국 정부가 국내 채권자를 먼저 보호하려 하면 갈등이 생긴다. 평상시에는 상호인정이 비용을 줄이지만, 위기에는 손실을 누가 부담할지가 다시 국경을 세운다.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세계무역의 의제가 된 금융</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1990년대에는 금융서비스도 다자간 무역협상의 대상이 되었다. 세계무역기구 출범 이후 협상이 이어졌고, 1997년 12월 12일 70개 정부의 금융서비스 개방 약속을 담은 합의가 타결되었다. 이 약속은 서비스무역 일반협정의 제5의정서에 붙어 1999년 발효했다.</w:t>
      </w:r>
      <w:r>
        <w:rPr>
          <w:rFonts w:ascii="KoPubWorld바탕체_Pro Light" w:hAnsi="KoPubWorld바탕체_Pro Light" w:eastAsia="KoPubWorld바탕체_Pro Light" w:cs="KoPubWorld바탕체_Pro Light"/>
          <w:sz w:val="14"/>
          <w:vertAlign w:val="superscript"/>
        </w:rPr>
        <w:t>74</w:t>
      </w:r>
    </w:p>
    <w:p>
      <w:pPr>
        <w:pStyle w:val="aff3"/>
        <w:spacing w:line="259" w:lineRule="auto"/>
      </w:pPr>
      <w:r>
        <w:rPr>
          <w:rFonts w:ascii="KoPubWorld바탕체_Pro Light" w:hAnsi="KoPubWorld바탕체_Pro Light" w:eastAsia="KoPubWorld바탕체_Pro Light" w:cs="KoPubWorld바탕체_Pro Light"/>
          <w:sz w:val="16"/>
        </w:rPr>
        <w:t>은행 지점의 설립, 보험 판매, 증권업 진입이 무역의 언어로 다뤄지자 규제는 새로운 시험을 받았다. 국내 기관 보호를 위한 장벽과 금융안정을 위한 건전성 조치가 겉으로는 비슷해 보일 수 있었다. 국가는 차별적 보호주의를 줄이면서도 예금자와 시스템을 지킬 권한을 유지해야 했다. 개방 약속에는 건전성 목적의 조치를 인정하는 장치가 포함되었지만, 어디까지가 필요한 감독이고 어디부터가 위장된 장벽인지는 계속 논쟁거리였다.</w:t>
      </w:r>
      <w:r>
        <w:rPr>
          <w:rFonts w:ascii="KoPubWorld바탕체_Pro Light" w:hAnsi="KoPubWorld바탕체_Pro Light" w:eastAsia="KoPubWorld바탕체_Pro Light" w:cs="KoPubWorld바탕체_Pro Light"/>
          <w:sz w:val="14"/>
          <w:vertAlign w:val="superscript"/>
        </w:rPr>
        <w:t>74</w:t>
      </w:r>
    </w:p>
    <w:p>
      <w:pPr>
        <w:pStyle w:val="aff3"/>
        <w:spacing w:line="259" w:lineRule="auto"/>
      </w:pPr>
      <w:r>
        <w:rPr>
          <w:rFonts w:ascii="KoPubWorld바탕체_Pro Light" w:hAnsi="KoPubWorld바탕체_Pro Light" w:eastAsia="KoPubWorld바탕체_Pro Light" w:cs="KoPubWorld바탕체_Pro Light"/>
          <w:sz w:val="16"/>
        </w:rPr>
        <w:t>자유화의 지지자들은 해외 은행의 진입이 경쟁을 촉진하고 자본과 전문성을 공급한다고 보았다. 비효율적인 국내 금융기관이 보호막 뒤에 머무르기 어려워지고, 기업과 소비자는 더 다양한 서비스를 이용할 수 있다. 반대편에서는 급격한 자본 이동이 환율과 자산가격을 흔들고, 외국 금융회사가 위기 때 본국으로 자금을 회수할 수 있다고 우려했다. 양쪽 모두 실제 위험을 짚었다. 개방의 편익은 장기적이고 분산되어 나타나는 반면, 유동성의 역전은 짧은 시간에 집중될 수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규제 경쟁이라는 새로운 게임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금융회사가 여러 관할권을 선택할 수 있게 되자 정부도 경쟁자가 되었다. 규칙이 지나치게 엄격하면 거래와 세수가 다른 도시로 옮겨갈 수 있다는 압력이 생겼다. 반대로 규제를 낮춰 사업을 끌어들이면 실패 비용은 예금보험과 중앙은행, 납세자에게 돌아올 수 있었다. 이익은 이동하지만 안전망은 지역에 묶여 있는 비대칭이었다.</w:t>
      </w:r>
    </w:p>
    <w:p>
      <w:pPr>
        <w:pStyle w:val="aff3"/>
        <w:spacing w:line="259" w:lineRule="auto"/>
      </w:pPr>
      <w:r>
        <w:rPr>
          <w:rFonts w:ascii="KoPubWorld바탕체_Pro Light" w:hAnsi="KoPubWorld바탕체_Pro Light" w:eastAsia="KoPubWorld바탕체_Pro Light" w:cs="KoPubWorld바탕체_Pro Light"/>
          <w:sz w:val="16"/>
        </w:rPr>
        <w:t>규제 차익은 법을 어기는 행위가 아니다. 같은 경제적 위험을 더 낮은 자본이나 더 느슨한 공시로 취급하는 법적 형태를 선택하는 것이다. 은행 대출 대신 증권을 발행하고, 국내 장부 대신 역외 법인에 자산을 두며, 예금 대신 단기 시장성 자금을 조달하면 규제 비용이 달라졌다. 각각의 거래는 합법적일 수 있지만, 전체적으로는 위험이 감독의 시야 밖으로 이동했다.</w:t>
      </w:r>
      <w:r>
        <w:rPr>
          <w:rFonts w:ascii="KoPubWorld바탕체_Pro Light" w:hAnsi="KoPubWorld바탕체_Pro Light" w:eastAsia="KoPubWorld바탕체_Pro Light" w:cs="KoPubWorld바탕체_Pro Light"/>
          <w:sz w:val="14"/>
          <w:vertAlign w:val="superscript"/>
        </w:rPr>
        <w:t>73,74</w:t>
      </w:r>
    </w:p>
    <w:p>
      <w:pPr>
        <w:pStyle w:val="aff3"/>
        <w:spacing w:line="259" w:lineRule="auto"/>
      </w:pPr>
      <w:r>
        <w:rPr>
          <w:rFonts w:ascii="KoPubWorld바탕체_Pro Light" w:hAnsi="KoPubWorld바탕체_Pro Light" w:eastAsia="KoPubWorld바탕체_Pro Light" w:cs="KoPubWorld바탕체_Pro Light"/>
          <w:sz w:val="16"/>
        </w:rPr>
        <w:t>여기서 감독자는 어려운 선택을 만난다. 모든 새로운 거래를 기존 은행업과 똑같이 규제하면 혁신의 편익을 막고 거래를 더 불투명한 곳으로 밀어낼 수 있다. 반대로 법적 형식만 보고 규제를 달리하면 경제적으로 같은 위험이 가장 싼 규칙을 찾아 이동한다. 해법은 이름보다 기능을 보는 것이다. 예금을 받는지, 만기 변환을 하는지, 높은 레버리지를 쓰는지, 실패할 때 지급결제를 멈추게 하는지를 물어야 한다. 그러나 기능 중심 규제는 관할권의 경계를 넘기 때문에 합의하기 더 어렵다.</w:t>
      </w:r>
      <w:r>
        <w:rPr>
          <w:rFonts w:ascii="KoPubWorld바탕체_Pro Light" w:hAnsi="KoPubWorld바탕체_Pro Light" w:eastAsia="KoPubWorld바탕체_Pro Light" w:cs="KoPubWorld바탕체_Pro Light"/>
          <w:sz w:val="14"/>
          <w:vertAlign w:val="superscript"/>
        </w:rPr>
        <w:t>72,74</w:t>
      </w:r>
    </w:p>
    <w:p>
      <w:pPr>
        <w:pStyle w:val="aff3"/>
        <w:spacing w:line="259" w:lineRule="auto"/>
      </w:pPr>
      <w:r>
        <w:rPr>
          <w:rFonts w:ascii="KoPubWorld바탕체_Pro Light" w:hAnsi="KoPubWorld바탕체_Pro Light" w:eastAsia="KoPubWorld바탕체_Pro Light" w:cs="KoPubWorld바탕체_Pro Light"/>
          <w:sz w:val="16"/>
        </w:rPr>
        <w:t>정책당국은 공통 기준으로 대응하기 시작했다. 그러나 공통 기준에도 역설이 있었다. 기준이 단순하면 서로 다른 위험을 같은 숫자로 취급하고, 정교하면 은행의 모델과 데이터에 더 의존한다. 국제 경쟁의 공정성을 맞추려는 규칙이 오히려 모든 은행을 비슷한 자산과 계산법으로 몰아갈 수도 있었다.</w:t>
      </w:r>
      <w:r>
        <w:rPr>
          <w:rFonts w:ascii="KoPubWorld바탕체_Pro Light" w:hAnsi="KoPubWorld바탕체_Pro Light" w:eastAsia="KoPubWorld바탕체_Pro Light" w:cs="KoPubWorld바탕체_Pro Light"/>
          <w:sz w:val="14"/>
          <w:vertAlign w:val="superscript"/>
        </w:rPr>
        <w:t>75</w:t>
      </w:r>
    </w:p>
    <w:p>
      <w:pPr>
        <w:pStyle w:val="aff3"/>
        <w:spacing w:line="259" w:lineRule="auto"/>
      </w:pPr>
      <w:r>
        <w:rPr>
          <w:rFonts w:ascii="KoPubWorld바탕체_Pro Light" w:hAnsi="KoPubWorld바탕체_Pro Light" w:eastAsia="KoPubWorld바탕체_Pro Light" w:cs="KoPubWorld바탕체_Pro Light"/>
          <w:sz w:val="16"/>
        </w:rPr>
        <w:t>1980~1990년대의 자유화가 남긴 핵심 교훈은 경쟁과 안정이 자동으로 함께 오지 않는다는 것이다. 가격과 진입의 장벽을 낮추면 금융은 더 싸고 넓어질 수 있다. 그와 동시에 감독은 더 많은 정보, 더 넓은 관할, 더 빠른 협력을 필요로 한다. 시장의 국경을 먼저 허물고 감독의 국경을 나중에 잇는다면 그 사이가 위험의 거처가 된다.</w:t>
      </w:r>
      <w:r>
        <w:rPr>
          <w:rFonts w:ascii="KoPubWorld바탕체_Pro Light" w:hAnsi="KoPubWorld바탕체_Pro Light" w:eastAsia="KoPubWorld바탕체_Pro Light" w:cs="KoPubWorld바탕체_Pro Light"/>
          <w:sz w:val="14"/>
          <w:vertAlign w:val="superscript"/>
        </w:rPr>
        <w:t>73,74</w:t>
      </w:r>
    </w:p>
    <w:p>
      <w:pPr>
        <w:pStyle w:val="aff3"/>
        <w:spacing w:line="259" w:lineRule="auto"/>
      </w:pPr>
      <w:r>
        <w:rPr>
          <w:rFonts w:ascii="KoPubWorld바탕체_Pro Light" w:hAnsi="KoPubWorld바탕체_Pro Light" w:eastAsia="KoPubWorld바탕체_Pro Light" w:cs="KoPubWorld바탕체_Pro Light"/>
          <w:sz w:val="16"/>
        </w:rPr>
        <w:t>자유화의 순서는 세 층으로 생각할 수 있다. 먼저 손실을 감당할 자본과 정확한 회계를 마련하고, 다음으로 감독기관이 연결된 위험을 볼 정보와 개입 권한을 갖추며, 마지막으로 진입·가격·자본 이동의 장벽을 낮추는 방식이다. 현실에서는 세 층이 동시에 움직이고 정치적 압력도 다르므로 완벽한 순서를 지키기 어렵다. 그래서 단계적 개방과 되돌릴 수 있는 안전장치가 중요하다.</w:t>
      </w:r>
    </w:p>
    <w:p>
      <w:pPr>
        <w:pStyle w:val="aff3"/>
        <w:spacing w:line="259" w:lineRule="auto"/>
      </w:pPr>
      <w:r>
        <w:rPr>
          <w:rFonts w:ascii="KoPubWorld바탕체_Pro Light" w:hAnsi="KoPubWorld바탕체_Pro Light" w:eastAsia="KoPubWorld바탕체_Pro Light" w:cs="KoPubWorld바탕체_Pro Light"/>
          <w:sz w:val="16"/>
        </w:rPr>
        <w:t>또한 개방의 평가는 평상시 가격만으로 끝낼 수 없다. 낮아진 수수료와 풍부한 신용의 편익에서 위기 때의 보증·실업·신용경색 비용을 함께 빼야 한다. 이 비용은 여러 해 뒤 납세자와 실물경제에 나타나므로 개혁 당시의 성과표에는 잘 보이지 않는다. 규제 영향평가에는 긴 시간축이 필요하다.</w:t>
      </w:r>
    </w:p>
    <w:p>
      <w:pPr>
        <w:pStyle w:val="aff3"/>
        <w:spacing w:line="259" w:lineRule="auto"/>
      </w:pPr>
      <w:r>
        <w:rPr>
          <w:rFonts w:ascii="KoPubWorld바탕체_Pro Light" w:hAnsi="KoPubWorld바탕체_Pro Light" w:eastAsia="KoPubWorld바탕체_Pro Light" w:cs="KoPubWorld바탕체_Pro Light"/>
          <w:sz w:val="16"/>
        </w:rPr>
        <w:t>다음 과제는 서로 다른 나라의 은행을 하나의 공용어로 비교하는 일이었다. 정책당국이 선택한 공용어는 자본비율이었다. 곧 전 세계 은행의 대차대조표 위에 하나의 숫자가 올라가게 된다. 8퍼센트였다.</w:t>
      </w:r>
      <w:r>
        <w:rPr>
          <w:rFonts w:ascii="KoPubWorld바탕체_Pro Light" w:hAnsi="KoPubWorld바탕체_Pro Light" w:eastAsia="KoPubWorld바탕체_Pro Light" w:cs="KoPubWorld바탕체_Pro Light"/>
          <w:sz w:val="14"/>
          <w:vertAlign w:val="superscript"/>
        </w:rPr>
        <w:t>75</w:t>
      </w:r>
    </w:p>
    <w:p>
      <w:pPr>
        <w:pStyle w:val="aff2"/>
        <w:pageBreakBefore/>
        <w:spacing w:before="440"/>
        <w:jc w:val="center"/>
      </w:pPr>
      <w:r>
        <w:rPr>
          <w:rFonts w:ascii="KoPubWorld바탕체_Pro Bold" w:hAnsi="KoPubWorld바탕체_Pro Bold" w:eastAsia="KoPubWorld바탕체_Pro Bold" w:cs="KoPubWorld바탕체_Pro Bold"/>
          <w:b/>
          <w:sz w:val="24"/>
        </w:rPr>
        <w:t>Chapter. 16</w:t>
      </w:r>
    </w:p>
    <w:p>
      <w:pPr>
        <w:pStyle w:val="aff1"/>
        <w:jc w:val="center"/>
      </w:pPr>
      <w:r>
        <w:rPr>
          <w:rFonts w:ascii="KoPubWorld바탕체_Pro Bold" w:hAnsi="KoPubWorld바탕체_Pro Bold" w:eastAsia="KoPubWorld바탕체_Pro Bold" w:cs="KoPubWorld바탕체_Pro Bold"/>
          <w:b/>
          <w:sz w:val="28"/>
        </w:rPr>
        <w:t>8퍼센트라는 공용어</w:t>
      </w:r>
    </w:p>
    <w:p>
      <w:pPr>
        <w:spacing w:before="60" w:after="0"/>
      </w:pPr>
    </w:p>
    <w:p>
      <w:pPr>
        <w:keepNext/>
        <w:jc w:val="center"/>
      </w:pPr>
      <w:r>
        <w:drawing>
          <wp:inline xmlns:a="http://schemas.openxmlformats.org/drawingml/2006/main" xmlns:pic="http://schemas.openxmlformats.org/drawingml/2006/picture">
            <wp:extent cx="3941063" cy="2218026"/>
            <wp:docPr id="9" name="Picture 9" descr="허슈타트 은행 폐쇄일의 시차결제. 국경을 넘은 지급은 감독의 빈틈을 드러냈다." title="허슈타트 은행 폐쇄일의 시차결제. 국경을 넘은 지급은 감독의 빈틈을 드러냈다."/>
            <wp:cNvGraphicFramePr>
              <a:graphicFrameLocks noChangeAspect="1"/>
            </wp:cNvGraphicFramePr>
            <a:graphic>
              <a:graphicData uri="http://schemas.openxmlformats.org/drawingml/2006/picture">
                <pic:pic>
                  <pic:nvPicPr>
                    <pic:cNvPr id="0" name="part3_crossborder_gray_q86.jpg"/>
                    <pic:cNvPicPr/>
                  </pic:nvPicPr>
                  <pic:blipFill>
                    <a:blip r:embed="rId46"/>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16. 허슈타트 은행 폐쇄일의 시차결제. 국경을 넘은 지급은 감독의 빈틈을 드러냈다.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1974년 6월 어느 날, 독일의 은행 감독당국은 쾰른의 소형 은행 방크하우스 헤르슈타트를 폐쇄했다. 은행은 외환 거래로 큰 손실을 입고 있었다. 문제는 폐쇄 시각이었다. 유럽의 거래 상대방들은 마르크를 이미 지급했지만, 시차 때문에 뉴욕에서 받아야 할 달러 결제는 아직 끝나지 않았다. 한쪽 통화는 건넸는데 반대쪽 통화는 오지 않는 결제 위험이 현실이 되었다. 이 사건은 훗날 은행의 이름을 따 ‘헤르슈타트 위험’으로 불렸다.</w:t>
      </w:r>
      <w:r>
        <w:rPr>
          <w:rFonts w:ascii="KoPubWorld바탕체_Pro Light" w:hAnsi="KoPubWorld바탕체_Pro Light" w:eastAsia="KoPubWorld바탕체_Pro Light" w:cs="KoPubWorld바탕체_Pro Light"/>
          <w:sz w:val="14"/>
          <w:vertAlign w:val="superscript"/>
        </w:rPr>
        <w:t>76</w:t>
      </w:r>
    </w:p>
    <w:p>
      <w:pPr>
        <w:pStyle w:val="aff3"/>
        <w:spacing w:line="259" w:lineRule="auto"/>
      </w:pPr>
      <w:r>
        <w:rPr>
          <w:rFonts w:ascii="KoPubWorld바탕체_Pro Light" w:hAnsi="KoPubWorld바탕체_Pro Light" w:eastAsia="KoPubWorld바탕체_Pro Light" w:cs="KoPubWorld바탕체_Pro Light"/>
          <w:sz w:val="16"/>
        </w:rPr>
        <w:t>은행 한 곳의 장부는 작았지만 결제망은 국경을 넘었다. 독일 감독자는 국내 은행을 닫을 권한이 있었지만 뉴욕의 달러 결제까지 멈춰 세울 의도는 없었다. 그렇다고 미국 감독자가 독일 은행의 손실을 미리 파악하기도 어려웠다. 국제 은행업의 가장 위험한 순간은 아무도 규제를 하지 않을 때만 생기는 것이 아니었다. 각 감독자가 자기 법에 따라 움직였는데도 책임의 이음새에서 생길 수 있었다.</w:t>
      </w:r>
      <w:r>
        <w:rPr>
          <w:rFonts w:ascii="KoPubWorld바탕체_Pro Light" w:hAnsi="KoPubWorld바탕체_Pro Light" w:eastAsia="KoPubWorld바탕체_Pro Light" w:cs="KoPubWorld바탕체_Pro Light"/>
          <w:sz w:val="14"/>
          <w:vertAlign w:val="superscript"/>
        </w:rPr>
        <w:t>76</w:t>
      </w:r>
    </w:p>
    <w:p>
      <w:pPr>
        <w:pStyle w:val="aff3"/>
        <w:spacing w:line="259" w:lineRule="auto"/>
      </w:pPr>
      <w:r>
        <w:rPr>
          <w:rFonts w:ascii="KoPubWorld바탕체_Pro Light" w:hAnsi="KoPubWorld바탕체_Pro Light" w:eastAsia="KoPubWorld바탕체_Pro Light" w:cs="KoPubWorld바탕체_Pro Light"/>
          <w:sz w:val="16"/>
        </w:rPr>
        <w:t>헤르슈타트 파산과 미국 프랭클린 내셔널은행의 붕괴는 중앙은행들에게 같은 경고를 보냈다. 은행은 국제화했지만 감독은 국내에 머물렀다. 주요 10개국 중앙은행 총재들은 1974년 말 국제결제은행 안에 은행감독위원회를 만들었고, 위원회는 1975년 2월 처음 회의를 열었다. 훗날 바젤은행감독위원회가 된 조직이었다.</w:t>
      </w:r>
      <w:r>
        <w:rPr>
          <w:rFonts w:ascii="KoPubWorld바탕체_Pro Light" w:hAnsi="KoPubWorld바탕체_Pro Light" w:eastAsia="KoPubWorld바탕체_Pro Light" w:cs="KoPubWorld바탕체_Pro Light"/>
          <w:sz w:val="14"/>
          <w:vertAlign w:val="superscript"/>
        </w:rPr>
        <w:t>76,77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감독의 빈틈을 지도로 그리다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새 위원회의 첫 과제는 세계 공통의 자본비율을 만드는 일이 아니었다. 어느 국제 은행도 감독의 사각지대에 놓이지 않게 하고, 본점 소재국과 영업국 감독자가 책임을 나누는 일이 먼저였다. 위원회는 1975년 이른바 바젤 협약을 마련해 국경을 넘는 은행의 감독 책임을 배분하고 정보 교환의 원칙을 제시했다. 이후 은행 구조의 변화와 위기 경험에 맞춰 협약을 고쳤다.</w:t>
      </w:r>
      <w:r>
        <w:rPr>
          <w:rFonts w:ascii="KoPubWorld바탕체_Pro Light" w:hAnsi="KoPubWorld바탕체_Pro Light" w:eastAsia="KoPubWorld바탕체_Pro Light" w:cs="KoPubWorld바탕체_Pro Light"/>
          <w:sz w:val="14"/>
          <w:vertAlign w:val="superscript"/>
        </w:rPr>
        <w:t>76</w:t>
      </w:r>
    </w:p>
    <w:p>
      <w:pPr>
        <w:pStyle w:val="aff3"/>
        <w:spacing w:line="259" w:lineRule="auto"/>
      </w:pPr>
      <w:r>
        <w:rPr>
          <w:rFonts w:ascii="KoPubWorld바탕체_Pro Light" w:hAnsi="KoPubWorld바탕체_Pro Light" w:eastAsia="KoPubWorld바탕체_Pro Light" w:cs="KoPubWorld바탕체_Pro Light"/>
          <w:sz w:val="16"/>
        </w:rPr>
        <w:t>본국 감독자는 은행그룹 전체의 건전성을 보아야 하고, 현지국 감독자는 자기 시장 안의 영업과 유동성을 살펴야 한다. 문장으로는 간단하지만 실제로는 어렵다. 해외 지점은 별도 법인이 아닐 수 있고, 자회사는 별도 법인이어도 모회사 지원에 의존할 수 있다. 한 감독자가 가진 비밀정보를 다른 나라에 넘길 법적 권한이 없을 수도 있다. 위기 때는 정보가 완전해질 때까지 기다릴 시간이 없다.</w:t>
      </w:r>
      <w:r>
        <w:rPr>
          <w:rFonts w:ascii="KoPubWorld바탕체_Pro Light" w:hAnsi="KoPubWorld바탕체_Pro Light" w:eastAsia="KoPubWorld바탕체_Pro Light" w:cs="KoPubWorld바탕체_Pro Light"/>
          <w:sz w:val="14"/>
          <w:vertAlign w:val="superscript"/>
        </w:rPr>
        <w:t>76,78</w:t>
      </w:r>
    </w:p>
    <w:p>
      <w:pPr>
        <w:pStyle w:val="aff3"/>
        <w:spacing w:line="259" w:lineRule="auto"/>
      </w:pPr>
      <w:r>
        <w:rPr>
          <w:rFonts w:ascii="KoPubWorld바탕체_Pro Light" w:hAnsi="KoPubWorld바탕체_Pro Light" w:eastAsia="KoPubWorld바탕체_Pro Light" w:cs="KoPubWorld바탕체_Pro Light"/>
          <w:sz w:val="16"/>
        </w:rPr>
        <w:t>협약의 의미는 초국가 감독청을 만든 데 있지 않았다. 그런 기관은 없었다. 대신 서로 다른 국가기관 사이에 최소한의 책임 지도를 그렸다. 국제금융 규제는 이때부터 조약이나 단일 법률보다 위원회의 기준, 동료 압력, 반복되는 협의로 작동하는 특징을 갖게 되었다. 법적 강제력은 각국이 부여하지만 규칙의 초안은 국제 네트워크에서 만들어지는 방식이다.</w:t>
      </w:r>
      <w:r>
        <w:rPr>
          <w:rFonts w:ascii="KoPubWorld바탕체_Pro Light" w:hAnsi="KoPubWorld바탕체_Pro Light" w:eastAsia="KoPubWorld바탕체_Pro Light" w:cs="KoPubWorld바탕체_Pro Light"/>
          <w:sz w:val="14"/>
          <w:vertAlign w:val="superscript"/>
        </w:rPr>
        <w:t>76</w:t>
      </w:r>
    </w:p>
    <w:p>
      <w:pPr>
        <w:pStyle w:val="aff3"/>
        <w:spacing w:line="259" w:lineRule="auto"/>
      </w:pPr>
      <w:r>
        <w:rPr>
          <w:rFonts w:ascii="KoPubWorld바탕체_Pro Light" w:hAnsi="KoPubWorld바탕체_Pro Light" w:eastAsia="KoPubWorld바탕체_Pro Light" w:cs="KoPubWorld바탕체_Pro Light"/>
          <w:sz w:val="16"/>
        </w:rPr>
        <w:t>이른바 ‘연성법’은 느슨해서만 선택된 것이 아니었다. 은행 상품과 장부 구조는 빠르게 바뀌고, 각국 의회를 거치는 조약은 그 속도를 따라가기 어려웠다. 감독자들이 전문지식과 사례를 공유해 원칙을 만들고, 각국이 자기 법체계에 맞게 옮기는 편이 현실적이었다. 다만 민주적 책임의 거리는 길어졌다. 국제회의에서 결정된 기술적 숫자가 국내 신용 공급과 은행 경영에 큰 영향을 주는데도 시민과 의회가 그 형성 과정을 보기 어려울 수 있었다.</w:t>
      </w:r>
      <w:r>
        <w:rPr>
          <w:rFonts w:ascii="KoPubWorld바탕체_Pro Light" w:hAnsi="KoPubWorld바탕체_Pro Light" w:eastAsia="KoPubWorld바탕체_Pro Light" w:cs="KoPubWorld바탕체_Pro Light"/>
          <w:sz w:val="14"/>
          <w:vertAlign w:val="superscript"/>
        </w:rPr>
        <w:t>76</w:t>
      </w:r>
    </w:p>
    <w:p>
      <w:pPr>
        <w:pStyle w:val="aff3"/>
        <w:spacing w:line="259" w:lineRule="auto"/>
      </w:pPr>
      <w:r>
        <w:rPr>
          <w:rFonts w:ascii="KoPubWorld바탕체_Pro Light" w:hAnsi="KoPubWorld바탕체_Pro Light" w:eastAsia="KoPubWorld바탕체_Pro Light" w:cs="KoPubWorld바탕체_Pro Light"/>
          <w:sz w:val="16"/>
        </w:rPr>
        <w:t>이 구조에는 강점이 있었다. 국내 법체계를 한 번에 통일하지 않고도 빠르게 공통 관행을 만들 수 있었다. 반면 이행이 느슨한 나라가 생기거나, 본국과 현지국이 서로 상대가 책임질 것이라 믿으면 빈틈이 다시 열렸다. ‘모든 은행을 감독한다’는 약속과 ‘모든 손실을 누가 부담한다’는 약속은 같지 않았다.</w:t>
      </w:r>
      <w:r>
        <w:rPr>
          <w:rFonts w:ascii="KoPubWorld바탕체_Pro Light" w:hAnsi="KoPubWorld바탕체_Pro Light" w:eastAsia="KoPubWorld바탕체_Pro Light" w:cs="KoPubWorld바탕체_Pro Light"/>
          <w:sz w:val="14"/>
          <w:vertAlign w:val="superscript"/>
        </w:rPr>
        <w:t>78</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중남미 채무위기가 자본을 묻다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1980년대 초 국제 은행들은 또 다른 문제와 마주했다. 중남미 국가들에 대한 대출이 급증한 뒤 세계 금리 상승과 경기 둔화가 겹쳤고, 1982년 멕시코가 채무상환 곤란을 알리면서 위기가 확산했다. 대형 국제은행의 국가대출 익스포저는 자기자본에 비해 컸고, 손실을 한꺼번에 인식하면 은행 시스템 자체가 흔들릴 수 있었다.</w:t>
      </w:r>
      <w:r>
        <w:rPr>
          <w:rFonts w:ascii="KoPubWorld바탕체_Pro Light" w:hAnsi="KoPubWorld바탕체_Pro Light" w:eastAsia="KoPubWorld바탕체_Pro Light" w:cs="KoPubWorld바탕체_Pro Light"/>
          <w:sz w:val="14"/>
          <w:vertAlign w:val="superscript"/>
        </w:rPr>
        <w:t>77</w:t>
      </w:r>
    </w:p>
    <w:p>
      <w:pPr>
        <w:pStyle w:val="aff3"/>
        <w:spacing w:line="259" w:lineRule="auto"/>
      </w:pPr>
      <w:r>
        <w:rPr>
          <w:rFonts w:ascii="KoPubWorld바탕체_Pro Light" w:hAnsi="KoPubWorld바탕체_Pro Light" w:eastAsia="KoPubWorld바탕체_Pro Light" w:cs="KoPubWorld바탕체_Pro Light"/>
          <w:sz w:val="16"/>
        </w:rPr>
        <w:t>헤르슈타트가 감독의 관할을 물었다면, 채무위기는 손실을 견딜 완충재가 얼마나 있는지를 물었다. 당시 각국은 자본의 정의와 요구 수준이 달랐다. 어떤 나라 은행은 같은 자산을 보유하고도 더 적은 자본으로 국제 경쟁을 할 수 있었다. 감독당국은 안전을 위해 자본을 높이고 싶었지만 자국 은행만 엄격하게 만들면 해외 경쟁에서 불리해질 것을 우려했다.</w:t>
      </w:r>
    </w:p>
    <w:p>
      <w:pPr>
        <w:pStyle w:val="aff3"/>
        <w:spacing w:line="259" w:lineRule="auto"/>
      </w:pPr>
      <w:r>
        <w:rPr>
          <w:rFonts w:ascii="KoPubWorld바탕체_Pro Light" w:hAnsi="KoPubWorld바탕체_Pro Light" w:eastAsia="KoPubWorld바탕체_Pro Light" w:cs="KoPubWorld바탕체_Pro Light"/>
          <w:sz w:val="16"/>
        </w:rPr>
        <w:t>공통 자본기준은 금융안정과 경쟁 조건이라는 두 목표의 타협이었다. 은행이 손실을 흡수할 최소한의 자기자금을 갖게 하는 동시에, 주요 국제은행이 대체로 같은 계산법을 쓰게 하려 했다. 규제의 국제화는 위험이 국경을 넘어서만이 아니라, 규제 비용의 차이가 경쟁을 왜곡한다는 이유로도 진전되었다.</w:t>
      </w:r>
      <w:r>
        <w:rPr>
          <w:rFonts w:ascii="KoPubWorld바탕체_Pro Light" w:hAnsi="KoPubWorld바탕체_Pro Light" w:eastAsia="KoPubWorld바탕체_Pro Light" w:cs="KoPubWorld바탕체_Pro Light"/>
          <w:sz w:val="14"/>
          <w:vertAlign w:val="superscript"/>
        </w:rPr>
        <w:t>76,75</w:t>
      </w:r>
    </w:p>
    <w:p>
      <w:pPr>
        <w:pStyle w:val="aff3"/>
        <w:spacing w:line="259" w:lineRule="auto"/>
      </w:pPr>
      <w:r>
        <w:rPr>
          <w:rFonts w:ascii="KoPubWorld바탕체_Pro Light" w:hAnsi="KoPubWorld바탕체_Pro Light" w:eastAsia="KoPubWorld바탕체_Pro Light" w:cs="KoPubWorld바탕체_Pro Light"/>
          <w:sz w:val="16"/>
        </w:rPr>
        <w:t>여기에도 정책적 인내와 위험한 지연이 섞여 있었다. 채무국이 즉시 모든 빚을 갚을 수 없었고 채권은행도 손실을 즉시 감당하기 어려웠다. 만기를 늘리고 신규 자금을 공급하며 시간을 번 것은 무질서한 파산을 피하는 방법이었다. 그러나 손실 인식을 미루는 동안 은행의 실제 건전성이 흐려질 수 있었다. 자본 규제는 장부의 숫자가 경제적 손실을 제대로 반영할 때만 의미가 있다.</w:t>
      </w:r>
      <w:r>
        <w:rPr>
          <w:rFonts w:ascii="KoPubWorld바탕체_Pro Light" w:hAnsi="KoPubWorld바탕체_Pro Light" w:eastAsia="KoPubWorld바탕체_Pro Light" w:cs="KoPubWorld바탕체_Pro Light"/>
          <w:sz w:val="14"/>
          <w:vertAlign w:val="superscript"/>
        </w:rPr>
        <w:t>77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위험가중자산이라는 발명</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바젤위원회는 1988년 7월 국제적 은행의 자본 측정과 기준을 맞추는 협약을 발표했다. 이른바 바젤 I이다. 회원국은 1992년 말까지 위험가중자산 대비 자본비율을 최소 8퍼센트로 맞추기로 했다.</w:t>
      </w:r>
      <w:r>
        <w:rPr>
          <w:rFonts w:ascii="KoPubWorld바탕체_Pro Light" w:hAnsi="KoPubWorld바탕체_Pro Light" w:eastAsia="KoPubWorld바탕체_Pro Light" w:cs="KoPubWorld바탕체_Pro Light"/>
          <w:sz w:val="14"/>
          <w:vertAlign w:val="superscript"/>
        </w:rPr>
        <w:t>75,76</w:t>
      </w:r>
    </w:p>
    <w:p>
      <w:pPr>
        <w:pStyle w:val="aff3"/>
        <w:spacing w:line="259" w:lineRule="auto"/>
      </w:pPr>
      <w:r>
        <w:rPr>
          <w:rFonts w:ascii="KoPubWorld바탕체_Pro Light" w:hAnsi="KoPubWorld바탕체_Pro Light" w:eastAsia="KoPubWorld바탕체_Pro Light" w:cs="KoPubWorld바탕체_Pro Light"/>
          <w:sz w:val="16"/>
        </w:rPr>
        <w:t>계산의 생각은 직관적이었다. 모든 자산을 같은 위험으로 보지 말자는 것이다. 현금이나 특정 정부에 대한 채권에는 낮은 가중치를 주고, 일반 기업대출에는 높은 가중치를 줬다. 장부 밖의 보증과 신용약정도 신용환산계수를 거쳐 위험가중자산에 포함했다. 분자인 자본은 손실을 먼저 흡수하는 기본자본과 일정 요건의 보완자본으로 나누었다.</w:t>
      </w:r>
      <w:r>
        <w:rPr>
          <w:rFonts w:ascii="KoPubWorld바탕체_Pro Light" w:hAnsi="KoPubWorld바탕체_Pro Light" w:eastAsia="KoPubWorld바탕체_Pro Light" w:cs="KoPubWorld바탕체_Pro Light"/>
          <w:sz w:val="14"/>
          <w:vertAlign w:val="superscript"/>
        </w:rPr>
        <w:t>75</w:t>
      </w:r>
    </w:p>
    <w:p>
      <w:pPr>
        <w:pStyle w:val="aff3"/>
        <w:spacing w:line="259" w:lineRule="auto"/>
      </w:pPr>
      <w:r>
        <w:rPr>
          <w:rFonts w:ascii="KoPubWorld바탕체_Pro Light" w:hAnsi="KoPubWorld바탕체_Pro Light" w:eastAsia="KoPubWorld바탕체_Pro Light" w:cs="KoPubWorld바탕체_Pro Light"/>
          <w:sz w:val="16"/>
        </w:rPr>
        <w:t>예를 들어 은행이 명목상 100의 자산을 가져도 위험가중치가 평균 50퍼센트라면 위험가중자산은 50이다. 최소 자본은 그 8퍼센트인 4가 된다. 같은 명목 자산이라도 무엇을 보유하는지에 따라 필요한 자본이 달라진다. 단순 자산비율보다 위험을 더 잘 반영하고, 서로 다른 은행을 하나의 표로 비교할 수 있다는 것이 장점이었다.</w:t>
      </w:r>
      <w:r>
        <w:rPr>
          <w:rFonts w:ascii="KoPubWorld바탕체_Pro Light" w:hAnsi="KoPubWorld바탕체_Pro Light" w:eastAsia="KoPubWorld바탕체_Pro Light" w:cs="KoPubWorld바탕체_Pro Light"/>
          <w:sz w:val="14"/>
          <w:vertAlign w:val="superscript"/>
        </w:rPr>
        <w:t>75</w:t>
      </w:r>
    </w:p>
    <w:p>
      <w:pPr>
        <w:pStyle w:val="aff3"/>
        <w:spacing w:line="259" w:lineRule="auto"/>
      </w:pPr>
      <w:r>
        <w:rPr>
          <w:rFonts w:ascii="KoPubWorld바탕체_Pro Light" w:hAnsi="KoPubWorld바탕체_Pro Light" w:eastAsia="KoPubWorld바탕체_Pro Light" w:cs="KoPubWorld바탕체_Pro Light"/>
          <w:sz w:val="16"/>
        </w:rPr>
        <w:t>장부 밖 거래를 포함한 것도 중요한 진전이었다. 은행은 대출을 실행하지 않고도 지급보증이나 신용한도를 약속해 위험을 질 수 있다. 평상시에는 자산으로 보이지 않지만 고객이 어려워지면 약정이 실제 자금 유출로 바뀐다. 바젤 I은 이런 항목을 일정한 비율로 대출 상당액으로 환산한 뒤 위험가중치를 적용했다.</w:t>
      </w:r>
      <w:r>
        <w:rPr>
          <w:rFonts w:ascii="KoPubWorld바탕체_Pro Light" w:hAnsi="KoPubWorld바탕체_Pro Light" w:eastAsia="KoPubWorld바탕체_Pro Light" w:cs="KoPubWorld바탕체_Pro Light"/>
          <w:sz w:val="14"/>
          <w:vertAlign w:val="superscript"/>
        </w:rPr>
        <w:t>75</w:t>
      </w:r>
      <w:r>
        <w:rPr>
          <w:rFonts w:ascii="KoPubWorld바탕체_Pro Light" w:hAnsi="KoPubWorld바탕체_Pro Light" w:eastAsia="KoPubWorld바탕체_Pro Light" w:cs="KoPubWorld바탕체_Pro Light"/>
          <w:sz w:val="16"/>
        </w:rPr>
        <w:t xml:space="preserve"> ‘장부에 없으니 위험도 없다’는 주장을 막으려는 시도였다. 그러나 환산율 역시 평균적인 가정이므로 위기 때 동시 인출되는 규모를 과소평가할 수 있었다.</w:t>
      </w:r>
    </w:p>
    <w:p>
      <w:pPr>
        <w:pStyle w:val="aff3"/>
        <w:spacing w:line="259" w:lineRule="auto"/>
      </w:pPr>
      <w:r>
        <w:rPr>
          <w:rFonts w:ascii="KoPubWorld바탕체_Pro Light" w:hAnsi="KoPubWorld바탕체_Pro Light" w:eastAsia="KoPubWorld바탕체_Pro Light" w:cs="KoPubWorld바탕체_Pro Light"/>
          <w:sz w:val="16"/>
        </w:rPr>
        <w:t>그러나 위험을 몇 개의 바구니로 나누는 순간 새로운 행동 유인이 생겼다. 같은 가중치를 받는 자산이라면 은행은 그 안에서 더 높은 수익, 즉 더 위험한 대출을 선택할 수 있다. 실제 위험은 다르지만 규제 비용이 같기 때문이다. 반대로 경제적으로 위험해도 낮은 가중치를 받는 자산은 과도하게 매력적이 된다. 숫자는 위험을 측정할 뿐 아니라 은행이 어떤 위험을 선택할지도 바꾼다.</w:t>
      </w:r>
    </w:p>
    <w:p>
      <w:pPr>
        <w:pStyle w:val="aff3"/>
        <w:spacing w:line="259" w:lineRule="auto"/>
      </w:pPr>
      <w:r>
        <w:rPr>
          <w:rFonts w:ascii="KoPubWorld바탕체_Pro Light" w:hAnsi="KoPubWorld바탕체_Pro Light" w:eastAsia="KoPubWorld바탕체_Pro Light" w:cs="KoPubWorld바탕체_Pro Light"/>
          <w:sz w:val="16"/>
        </w:rPr>
        <w:t>8퍼센트는 과학적 자연상수가 아니었다. 서로 다른 회계와 금융구조를 가진 국가들이 합의할 수 있는 최소 기준이었다. 이 숫자의 힘은 정밀함보다 공통성에 있었다. 감독자는 국적이 다른 은행을 비교할 수 있고, 시장은 기준 미달을 경고 신호로 읽을 수 있었다. 반면 공통 숫자는 그 뒤의 자산 질과 손실 인식 차이를 가리는 가면이 될 수도 있었다.</w:t>
      </w:r>
      <w:r>
        <w:rPr>
          <w:rFonts w:ascii="KoPubWorld바탕체_Pro Light" w:hAnsi="KoPubWorld바탕체_Pro Light" w:eastAsia="KoPubWorld바탕체_Pro Light" w:cs="KoPubWorld바탕체_Pro Light"/>
          <w:sz w:val="14"/>
          <w:vertAlign w:val="superscript"/>
        </w:rPr>
        <w:t>75</w:t>
      </w:r>
    </w:p>
    <w:p>
      <w:pPr>
        <w:pStyle w:val="aff3"/>
        <w:spacing w:line="259" w:lineRule="auto"/>
      </w:pPr>
      <w:r>
        <w:rPr>
          <w:rFonts w:ascii="KoPubWorld바탕체_Pro Light" w:hAnsi="KoPubWorld바탕체_Pro Light" w:eastAsia="KoPubWorld바탕체_Pro Light" w:cs="KoPubWorld바탕체_Pro Light"/>
          <w:sz w:val="16"/>
        </w:rPr>
        <w:t>비율에는 분자와 분모뿐 아니라 시점이라는 세 번째 요소가 있다. 호황기에는 대출 부실률이 낮고 담보가격이 높아 자본이 넉넉해 보인다. 경기 하강이 시작되면 손실이 늘고 자산을 줄여야 비율을 지킬 수 있다. 모든 은행이 동시에 대출을 회수하거나 자산을 팔면 실물경제와 가격 하락을 더 악화시킨다. 최소 자본규제는 개별 은행의 안전을 높일 수 있지만 경기순응적으로 운용되면 시스템 전체의 변동을 키울 수 있었다. 이 문제는 훗날 거시건전성 규제의 출발점이 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저축대부조합이 보여준 규칙의 순서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 I이 국제은행의 자본을 맞추는 동안 미국에서는 저축대부조합 위기가 커졌다. 금리 급등으로 전통적인 장기 고정금리 주택대출의 가치가 하락했고, 자금조달 비용은 올랐다. 규제당국과 의회는 기관의 자산 운용 권한을 넓히고 회계·자본 규제를 완화해 회복할 시간을 주려 했다. 그러나 부실을 정리하지 않은 상태에서 예금보험과 확대된 투자 권한이 결합하자 일부 기관은 더 큰 위험을 떠안았다.</w:t>
      </w:r>
      <w:r>
        <w:rPr>
          <w:rFonts w:ascii="KoPubWorld바탕체_Pro Light" w:hAnsi="KoPubWorld바탕체_Pro Light" w:eastAsia="KoPubWorld바탕체_Pro Light" w:cs="KoPubWorld바탕체_Pro Light"/>
          <w:sz w:val="14"/>
          <w:vertAlign w:val="superscript"/>
        </w:rPr>
        <w:t>70</w:t>
      </w:r>
    </w:p>
    <w:p>
      <w:pPr>
        <w:pStyle w:val="aff3"/>
        <w:spacing w:line="259" w:lineRule="auto"/>
      </w:pPr>
      <w:r>
        <w:rPr>
          <w:rFonts w:ascii="KoPubWorld바탕체_Pro Light" w:hAnsi="KoPubWorld바탕체_Pro Light" w:eastAsia="KoPubWorld바탕체_Pro Light" w:cs="KoPubWorld바탕체_Pro Light"/>
          <w:sz w:val="16"/>
        </w:rPr>
        <w:t>1989년 금융기관 개혁·회복·집행법은 저축대부조합 감독과 예금보험 구조를 개편하고, 부실기관을 정리할 정리신탁공사를 만들었다.</w:t>
      </w:r>
      <w:r>
        <w:rPr>
          <w:rFonts w:ascii="KoPubWorld바탕체_Pro Light" w:hAnsi="KoPubWorld바탕체_Pro Light" w:eastAsia="KoPubWorld바탕체_Pro Light" w:cs="KoPubWorld바탕체_Pro Light"/>
          <w:sz w:val="14"/>
          <w:vertAlign w:val="superscript"/>
        </w:rPr>
        <w:t>79</w:t>
      </w:r>
      <w:r>
        <w:rPr>
          <w:rFonts w:ascii="KoPubWorld바탕체_Pro Light" w:hAnsi="KoPubWorld바탕체_Pro Light" w:eastAsia="KoPubWorld바탕체_Pro Light" w:cs="KoPubWorld바탕체_Pro Light"/>
          <w:sz w:val="16"/>
        </w:rPr>
        <w:t xml:space="preserve"> 위기의 비용은 자본비율 하나로 예방할 수 없다는 사실을 드러냈다. 자산을 현실적인 가격으로 평가하고, 부실을 조기에 발견하며, 지급불능 기관을 닫고, 경영진과 주주에게 손실을 부담시키는 집행 체계가 함께 있어야 했다.</w:t>
      </w:r>
    </w:p>
    <w:p>
      <w:pPr>
        <w:pStyle w:val="aff3"/>
        <w:spacing w:line="259" w:lineRule="auto"/>
      </w:pPr>
      <w:r>
        <w:rPr>
          <w:rFonts w:ascii="KoPubWorld바탕체_Pro Light" w:hAnsi="KoPubWorld바탕체_Pro Light" w:eastAsia="KoPubWorld바탕체_Pro Light" w:cs="KoPubWorld바탕체_Pro Light"/>
          <w:sz w:val="16"/>
        </w:rPr>
        <w:t>이 사례를 규제완화가 위기를 만들었다는 한 문장으로 줄이면 금리 충격과 기존 사업모델의 취약성을 놓친다. 반대로 금리 충격만 탓하면 손실을 숨기고 위험 확대를 허용한 정책 선택을 놓친다. 위기는 외부 충격과 제도적 유인이 만나는 곳에서 커졌다. 규제는 충격을 막지 못해도 충격이 도박으로 변하는 경로를 끊을 수 있어야 한다.</w:t>
      </w:r>
    </w:p>
    <w:p>
      <w:pPr>
        <w:pStyle w:val="aff3"/>
        <w:spacing w:line="259" w:lineRule="auto"/>
      </w:pPr>
      <w:r>
        <w:rPr>
          <w:rFonts w:ascii="KoPubWorld바탕체_Pro Light" w:hAnsi="KoPubWorld바탕체_Pro Light" w:eastAsia="KoPubWorld바탕체_Pro Light" w:cs="KoPubWorld바탕체_Pro Light"/>
          <w:sz w:val="16"/>
        </w:rPr>
        <w:t>바젤 기준과 미국의 위기는 서로 다른 무대의 사건처럼 보이지만 같은 질문을 던졌다. 장부상 자본은 언제 진짜 완충재인가. 손실이 과소평가되거나 우선주처럼 상환 부담이 있는 수단을 보통주와 똑같이 취급하면 비율은 높아도 흡수력은 약하다. 이후 자본규제의 역사는 분모인 위험가중자산뿐 아니라 분자인 자본의 질을 계속 따지게 된다.</w:t>
      </w:r>
      <w:r>
        <w:rPr>
          <w:rFonts w:ascii="KoPubWorld바탕체_Pro Light" w:hAnsi="KoPubWorld바탕체_Pro Light" w:eastAsia="KoPubWorld바탕체_Pro Light" w:cs="KoPubWorld바탕체_Pro Light"/>
          <w:sz w:val="14"/>
          <w:vertAlign w:val="superscript"/>
        </w:rPr>
        <w:t>75,70</w:t>
      </w:r>
    </w:p>
    <w:p>
      <w:pPr>
        <w:pStyle w:val="aff3"/>
        <w:spacing w:line="259" w:lineRule="auto"/>
      </w:pPr>
      <w:r>
        <w:rPr>
          <w:rFonts w:ascii="KoPubWorld바탕체_Pro Light" w:hAnsi="KoPubWorld바탕체_Pro Light" w:eastAsia="KoPubWorld바탕체_Pro Light" w:cs="KoPubWorld바탕체_Pro Light"/>
          <w:sz w:val="16"/>
        </w:rPr>
        <w:t>또 하나는 감독자의 행동 의지다. 기준 미달을 발견해도 당장 폐쇄하면 지역 신용과 예금보험기금에 충격이 온다는 이유로 조치를 미룰 수 있다. 경기가 회복되면 손실이 사라질 것이라는 기대도 개입을 늦춘다. 하지만 자본이 소진된 기관의 경영진은 기다리는 동안 더 큰 위험을 택할 수 있다. 숫자를 측정하는 규칙과 숫자가 낮아졌을 때 무엇을 할지 정하는 규칙은 한 쌍이어야 한다.</w:t>
      </w:r>
      <w:r>
        <w:rPr>
          <w:rFonts w:ascii="KoPubWorld바탕체_Pro Light" w:hAnsi="KoPubWorld바탕체_Pro Light" w:eastAsia="KoPubWorld바탕체_Pro Light" w:cs="KoPubWorld바탕체_Pro Light"/>
          <w:sz w:val="14"/>
          <w:vertAlign w:val="superscript"/>
        </w:rPr>
        <w:t>70,79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세계 표준이 된 최소선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 I은 처음에는 국제적으로 활동하는 주요 은행을 겨냥했지만, 점차 더 많은 나라가 국내 은행에도 적용했다. 단순한 계산법과 명확한 최소선은 확산에 유리했다. 국제 투자자와 신용평가사, 국제기구도 8퍼센트를 건전성의 공통 표지로 사용했다. 법적 구속력이 없는 위원회 합의가 각국 규정과 시장 기대를 통해 사실상의 세계 표준이 되었다.</w:t>
      </w:r>
      <w:r>
        <w:rPr>
          <w:rFonts w:ascii="KoPubWorld바탕체_Pro Light" w:hAnsi="KoPubWorld바탕체_Pro Light" w:eastAsia="KoPubWorld바탕체_Pro Light" w:cs="KoPubWorld바탕체_Pro Light"/>
          <w:sz w:val="14"/>
          <w:vertAlign w:val="superscript"/>
        </w:rPr>
        <w:t>76</w:t>
      </w:r>
    </w:p>
    <w:p>
      <w:pPr>
        <w:pStyle w:val="aff3"/>
        <w:spacing w:line="259" w:lineRule="auto"/>
      </w:pPr>
      <w:r>
        <w:rPr>
          <w:rFonts w:ascii="KoPubWorld바탕체_Pro Light" w:hAnsi="KoPubWorld바탕체_Pro Light" w:eastAsia="KoPubWorld바탕체_Pro Light" w:cs="KoPubWorld바탕체_Pro Light"/>
          <w:sz w:val="16"/>
        </w:rPr>
        <w:t>국경간 감독의 빈틈도 계속 드러났다. 바젤위원회는 1992년 최소 기준을 내놓고, 1996년에는 본국과 현지국 감독자가 국제은행과 금융그룹에 필요한 정보를 확보하고 공유할 수 있도록 감독을 강화하는 보고서를 발표했다.</w:t>
      </w:r>
      <w:r>
        <w:rPr>
          <w:rFonts w:ascii="KoPubWorld바탕체_Pro Light" w:hAnsi="KoPubWorld바탕체_Pro Light" w:eastAsia="KoPubWorld바탕체_Pro Light" w:cs="KoPubWorld바탕체_Pro Light"/>
          <w:sz w:val="14"/>
          <w:vertAlign w:val="superscript"/>
        </w:rPr>
        <w:t>76,78</w:t>
      </w:r>
      <w:r>
        <w:rPr>
          <w:rFonts w:ascii="KoPubWorld바탕체_Pro Light" w:hAnsi="KoPubWorld바탕체_Pro Light" w:eastAsia="KoPubWorld바탕체_Pro Light" w:cs="KoPubWorld바탕체_Pro Light"/>
          <w:sz w:val="16"/>
        </w:rPr>
        <w:t xml:space="preserve"> 기준은 한 번 발표하고 끝나는 법전이 아니라 위기가 드러낸 빈칸을 메우는 연속 작업이었다.</w:t>
      </w:r>
    </w:p>
    <w:p>
      <w:pPr>
        <w:pStyle w:val="aff3"/>
        <w:spacing w:line="259" w:lineRule="auto"/>
      </w:pPr>
      <w:r>
        <w:rPr>
          <w:rFonts w:ascii="KoPubWorld바탕체_Pro Light" w:hAnsi="KoPubWorld바탕체_Pro Light" w:eastAsia="KoPubWorld바탕체_Pro Light" w:cs="KoPubWorld바탕체_Pro Light"/>
          <w:sz w:val="16"/>
        </w:rPr>
        <w:t>1996년 시장위험 개정은 더 큰 방향 전환을 예고했다. 은행의 거래계정에서 생기는 금리·주가·환율 위험에 자본을 요구했고, 일정한 감독 요건 아래 은행 자체의 가치-at-위험 모형을 사용할 수 있게 했다.</w:t>
      </w:r>
      <w:r>
        <w:rPr>
          <w:rFonts w:ascii="KoPubWorld바탕체_Pro Light" w:hAnsi="KoPubWorld바탕체_Pro Light" w:eastAsia="KoPubWorld바탕체_Pro Light" w:cs="KoPubWorld바탕체_Pro Light"/>
          <w:sz w:val="14"/>
          <w:vertAlign w:val="superscript"/>
        </w:rPr>
        <w:t>80</w:t>
      </w:r>
      <w:r>
        <w:rPr>
          <w:rFonts w:ascii="KoPubWorld바탕체_Pro Light" w:hAnsi="KoPubWorld바탕체_Pro Light" w:eastAsia="KoPubWorld바탕체_Pro Light" w:cs="KoPubWorld바탕체_Pro Light"/>
          <w:sz w:val="16"/>
        </w:rPr>
        <w:t xml:space="preserve"> 단순한 규제 바구니가 실제 거래위험을 제대로 반영하지 못한다는 비판에 대한 답이었다.</w:t>
      </w:r>
    </w:p>
    <w:p>
      <w:pPr>
        <w:pStyle w:val="aff3"/>
        <w:spacing w:line="259" w:lineRule="auto"/>
      </w:pPr>
      <w:r>
        <w:rPr>
          <w:rFonts w:ascii="KoPubWorld바탕체_Pro Light" w:hAnsi="KoPubWorld바탕체_Pro Light" w:eastAsia="KoPubWorld바탕체_Pro Light" w:cs="KoPubWorld바탕체_Pro Light"/>
          <w:sz w:val="16"/>
        </w:rPr>
        <w:t>하지만 자체 모형을 허용하면 규제자는 은행의 계산 능력을 빌리는 동시에 그 계산에 의존하게 된다. 과거 가격 변동이 작으면 측정 위험도 작아지고 필요한 자본도 줄 수 있다. 여러 은행이 비슷한 자료와 모형을 쓰면 한 방향으로 포지션을 줄이는 집단행동도 생긴다. 정교한 측정이 반드시 보수적인 측정을 뜻하지는 않았다.</w:t>
      </w:r>
    </w:p>
    <w:p>
      <w:pPr>
        <w:pStyle w:val="aff3"/>
        <w:spacing w:line="259" w:lineRule="auto"/>
      </w:pPr>
      <w:r>
        <w:rPr>
          <w:rFonts w:ascii="KoPubWorld바탕체_Pro Light" w:hAnsi="KoPubWorld바탕체_Pro Light" w:eastAsia="KoPubWorld바탕체_Pro Light" w:cs="KoPubWorld바탕체_Pro Light"/>
          <w:sz w:val="16"/>
        </w:rPr>
        <w:t>감독자는 두 종류의 오류 중 하나를 선택해야 했다. 표준식을 쓰면 개별 포지션의 헤지와 상관관계를 거칠게 다뤄 실제 위험을 왜곡한다. 내부모형을 쓰면 더 많은 정보를 반영할 수 있지만 가정과 데이터 선택을 은행에 맡긴다. 전자는 규제 차익을, 후자는 모형 차익을 낳을 수 있다. 어느 길도 위험을 없애지 못하므로 결과 검증과 스트레스 테스트, 단순한 보조 지표가 필요했다.</w:t>
      </w:r>
      <w:r>
        <w:rPr>
          <w:rFonts w:ascii="KoPubWorld바탕체_Pro Light" w:hAnsi="KoPubWorld바탕체_Pro Light" w:eastAsia="KoPubWorld바탕체_Pro Light" w:cs="KoPubWorld바탕체_Pro Light"/>
          <w:sz w:val="14"/>
          <w:vertAlign w:val="superscript"/>
        </w:rPr>
        <w:t>80</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숫자는 방패이자 지도다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 I의 성취는 위험을 완벽하게 잰 데 있지 않다. 국제은행이 최소한의 손실흡수력을 갖춰야 한다는 원칙을 세계의 공용어로 만들었다. 자본이 충분하면 손실이 곧바로 예금자와 공공부문으로 넘어가는 것을 막고, 감독자가 개입할 시간을 벌 수 있다. 공통 기준은 느슨한 관할로 위험이 이동하는 압력도 줄였다.</w:t>
      </w:r>
      <w:r>
        <w:rPr>
          <w:rFonts w:ascii="KoPubWorld바탕체_Pro Light" w:hAnsi="KoPubWorld바탕체_Pro Light" w:eastAsia="KoPubWorld바탕체_Pro Light" w:cs="KoPubWorld바탕체_Pro Light"/>
          <w:sz w:val="14"/>
          <w:vertAlign w:val="superscript"/>
        </w:rPr>
        <w:t>75,76</w:t>
      </w:r>
    </w:p>
    <w:p>
      <w:pPr>
        <w:pStyle w:val="aff3"/>
        <w:spacing w:line="259" w:lineRule="auto"/>
      </w:pPr>
      <w:r>
        <w:rPr>
          <w:rFonts w:ascii="KoPubWorld바탕체_Pro Light" w:hAnsi="KoPubWorld바탕체_Pro Light" w:eastAsia="KoPubWorld바탕체_Pro Light" w:cs="KoPubWorld바탕체_Pro Light"/>
          <w:sz w:val="16"/>
        </w:rPr>
        <w:t>그 한계도 공통성에서 나왔다. 거친 위험가중치는 규제 차익을 만들고, 8퍼센트라는 통과선은 위험관리의 목표를 최소치 준수로 좁힐 수 있었다. 자본비율이 같아도 자금조달 구조와 자산의 유동성, 손실의 상관관계는 전혀 다를 수 있다. 비율은 은행의 체력을 보여주지만 위기가 언제, 어디서 번질지는 말해주지 않았다.</w:t>
      </w:r>
      <w:r>
        <w:rPr>
          <w:rFonts w:ascii="KoPubWorld바탕체_Pro Light" w:hAnsi="KoPubWorld바탕체_Pro Light" w:eastAsia="KoPubWorld바탕체_Pro Light" w:cs="KoPubWorld바탕체_Pro Light"/>
          <w:sz w:val="14"/>
          <w:vertAlign w:val="superscript"/>
        </w:rPr>
        <w:t>75</w:t>
      </w:r>
    </w:p>
    <w:p>
      <w:pPr>
        <w:pStyle w:val="aff3"/>
        <w:spacing w:line="259" w:lineRule="auto"/>
      </w:pPr>
      <w:r>
        <w:rPr>
          <w:rFonts w:ascii="KoPubWorld바탕체_Pro Light" w:hAnsi="KoPubWorld바탕체_Pro Light" w:eastAsia="KoPubWorld바탕체_Pro Light" w:cs="KoPubWorld바탕체_Pro Light"/>
          <w:sz w:val="16"/>
        </w:rPr>
        <w:t>무엇보다 숫자는 중립적인 거울이 아니다. 규제자가 위험의 지도를 그리면 은행은 그 지도에서 가장 싼 길을 찾는다. 바젤 I은 국제 금융에 공통의 바닥을 놓았지만, 금융은 곧 그 바닥의 높낮이를 이용하는 법을 배웠다. 다음 위기는 자본비율을 지킨 은행도 달러가 마르면 쓰러질 수 있음을 보여주게 된다.</w:t>
      </w:r>
      <w:r>
        <w:rPr>
          <w:rFonts w:ascii="KoPubWorld바탕체_Pro Light" w:hAnsi="KoPubWorld바탕체_Pro Light" w:eastAsia="KoPubWorld바탕체_Pro Light" w:cs="KoPubWorld바탕체_Pro Light"/>
          <w:sz w:val="14"/>
          <w:vertAlign w:val="superscript"/>
        </w:rPr>
        <w:t>75</w:t>
      </w:r>
    </w:p>
    <w:p>
      <w:pPr>
        <w:pStyle w:val="aff2"/>
        <w:pageBreakBefore/>
        <w:spacing w:before="440"/>
        <w:jc w:val="center"/>
      </w:pPr>
      <w:r>
        <w:rPr>
          <w:rFonts w:ascii="KoPubWorld바탕체_Pro Bold" w:hAnsi="KoPubWorld바탕체_Pro Bold" w:eastAsia="KoPubWorld바탕체_Pro Bold" w:cs="KoPubWorld바탕체_Pro Bold"/>
          <w:b/>
          <w:sz w:val="24"/>
        </w:rPr>
        <w:t>Chapter. 17</w:t>
      </w:r>
    </w:p>
    <w:p>
      <w:pPr>
        <w:pStyle w:val="aff1"/>
        <w:jc w:val="center"/>
      </w:pPr>
      <w:r>
        <w:rPr>
          <w:rFonts w:ascii="KoPubWorld바탕체_Pro Bold" w:hAnsi="KoPubWorld바탕체_Pro Bold" w:eastAsia="KoPubWorld바탕체_Pro Bold" w:cs="KoPubWorld바탕체_Pro Bold"/>
          <w:b/>
          <w:sz w:val="28"/>
        </w:rPr>
        <w:t>하루아침에 마른 달러: 1997 아시아 위기</w:t>
      </w:r>
    </w:p>
    <w:p>
      <w:pPr>
        <w:spacing w:before="60" w:after="0"/>
      </w:pPr>
    </w:p>
    <w:p>
      <w:pPr>
        <w:keepNext/>
        <w:jc w:val="center"/>
      </w:pPr>
      <w:r>
        <w:drawing>
          <wp:inline xmlns:a="http://schemas.openxmlformats.org/drawingml/2006/main" xmlns:pic="http://schemas.openxmlformats.org/drawingml/2006/picture">
            <wp:extent cx="3941063" cy="2218026"/>
            <wp:docPr id="10" name="Picture 10" descr="1997년 서울의 외환딜링룸. 짧은 외화부채와 긴 국내투자의 불일치가 위기의 속도를 높였다." title="1997년 서울의 외환딜링룸. 짧은 외화부채와 긴 국내투자의 불일치가 위기의 속도를 높였다."/>
            <wp:cNvGraphicFramePr>
              <a:graphicFrameLocks noChangeAspect="1"/>
            </wp:cNvGraphicFramePr>
            <a:graphic>
              <a:graphicData uri="http://schemas.openxmlformats.org/drawingml/2006/picture">
                <pic:pic>
                  <pic:nvPicPr>
                    <pic:cNvPr id="0" name="ch17_asian_crisis_gray_q86.jpg"/>
                    <pic:cNvPicPr/>
                  </pic:nvPicPr>
                  <pic:blipFill>
                    <a:blip r:embed="rId47"/>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17. 1997년 서울의 외환딜링룸. 짧은 외화부채와 긴 국내투자의 불일치가 위기의 속도를 높였다.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1997년 7월 2일 아침, 태국 중앙은행은 바트화를 관리변동환율제로 옮겼다. 오랫동안 달러에 가깝게 묶여 있던 환율을 더는 방어하기 어려웠다. 발표 뒤 한 달도 되지 않아 바트화 가치는 약 20퍼센트 떨어졌고, 외화 차입의 만기 연장이 막히면서 금융회사들의 자금 사정은 급격히 악화했다.</w:t>
      </w:r>
      <w:r>
        <w:rPr>
          <w:rFonts w:ascii="KoPubWorld바탕체_Pro Light" w:hAnsi="KoPubWorld바탕체_Pro Light" w:eastAsia="KoPubWorld바탕체_Pro Light" w:cs="KoPubWorld바탕체_Pro Light"/>
          <w:sz w:val="14"/>
          <w:vertAlign w:val="superscript"/>
        </w:rPr>
        <w:t>81</w:t>
      </w:r>
    </w:p>
    <w:p>
      <w:pPr>
        <w:pStyle w:val="aff3"/>
        <w:spacing w:line="259" w:lineRule="auto"/>
      </w:pPr>
      <w:r>
        <w:rPr>
          <w:rFonts w:ascii="KoPubWorld바탕체_Pro Light" w:hAnsi="KoPubWorld바탕체_Pro Light" w:eastAsia="KoPubWorld바탕체_Pro Light" w:cs="KoPubWorld바탕체_Pro Light"/>
          <w:sz w:val="16"/>
        </w:rPr>
        <w:t>방콕의 기업이 장부를 펼치면 위기는 숫자의 모양으로 나타났다. 수입 설비와 부동산은 바트화로 수익을 냈지만 빚은 달러로 갚아야 했다. 환율이 안정되어 있을 때 달러 대출은 금리가 낮아 보였다. 그러나 바트화가 떨어지면 같은 달러 부채의 바트화 금액이 치솟는다. 자산가격 하락과 경기 둔화로 담보가치는 내려가는데 부채는 늘었다. 은행의 외환 유동성 문제가 기업의 지급능력 문제로, 다시 은행의 신용손실로 돌아왔다.</w:t>
      </w:r>
    </w:p>
    <w:p>
      <w:pPr>
        <w:pStyle w:val="aff3"/>
        <w:spacing w:line="259" w:lineRule="auto"/>
      </w:pPr>
      <w:r>
        <w:rPr>
          <w:rFonts w:ascii="KoPubWorld바탕체_Pro Light" w:hAnsi="KoPubWorld바탕체_Pro Light" w:eastAsia="KoPubWorld바탕체_Pro Light" w:cs="KoPubWorld바탕체_Pro Light"/>
          <w:sz w:val="16"/>
        </w:rPr>
        <w:t>태국 정부는 투기 공격과 외환보유액 감소, 금융회사 부실이 겹치자 IMF 지원을 요청했다. 1997년 8월 제출한 의향서는 재정·통화 조정과 함께 부실 금융회사 정리, 금융부문 구조조정을 약속했다.</w:t>
      </w:r>
      <w:r>
        <w:rPr>
          <w:rFonts w:ascii="KoPubWorld바탕체_Pro Light" w:hAnsi="KoPubWorld바탕체_Pro Light" w:eastAsia="KoPubWorld바탕체_Pro Light" w:cs="KoPubWorld바탕체_Pro Light"/>
          <w:sz w:val="14"/>
          <w:vertAlign w:val="superscript"/>
        </w:rPr>
        <w:t>82</w:t>
      </w:r>
      <w:r>
        <w:rPr>
          <w:rFonts w:ascii="KoPubWorld바탕체_Pro Light" w:hAnsi="KoPubWorld바탕체_Pro Light" w:eastAsia="KoPubWorld바탕체_Pro Light" w:cs="KoPubWorld바탕체_Pro Light"/>
          <w:sz w:val="16"/>
        </w:rPr>
        <w:t xml:space="preserve"> 문제는 한 나라에 머물지 않았다. 투자자는 경제구조가 다른 인도네시아, 말레이시아, 필리핀, 한국에서도 비슷한 약점을 찾기 시작했다. 국경을 넘던 자본이 방향을 바꾸자 ‘아시아의 기적’은 몇 달 사이 유동성 위기의 이름으로 바뀌었다.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고정환율이 만든 안도감</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위기 전 동아시아의 높은 저축과 성장, 수출 경쟁력은 실제였다. 문제는 성장 자체보다 그것을 금융하는 방식에 있었다. 환율이 오랫동안 안정되면 차입자와 대출자는 환위험을 작게 본다. 국내 금리가 해외보다 높을 때 은행과 기업은 단기로 외화를 빌려 장기 국내 사업에 투자할 유인을 가진다. 헤지를 하지 않아도 중앙은행이 환율을 지켜줄 것이라는 기대가 생긴다.</w:t>
      </w:r>
    </w:p>
    <w:p>
      <w:pPr>
        <w:pStyle w:val="aff3"/>
        <w:spacing w:line="259" w:lineRule="auto"/>
      </w:pPr>
      <w:r>
        <w:rPr>
          <w:rFonts w:ascii="KoPubWorld바탕체_Pro Light" w:hAnsi="KoPubWorld바탕체_Pro Light" w:eastAsia="KoPubWorld바탕체_Pro Light" w:cs="KoPubWorld바탕체_Pro Light"/>
          <w:sz w:val="16"/>
        </w:rPr>
        <w:t>이 구조에는 만기 불일치와 통화 불일치가 겹쳤다. 빚은 짧고 자산은 길며, 빚은 달러이고 수입은 현지 통화였다. 평상시에는 외국 은행이 만기를 계속 연장해 주므로 문제가 보이지 않는다. 하지만 신뢰가 흔들리면 상환 요구가 같은 시점에 몰린다. 자산이 장기적으로 가치가 있어도 오늘 필요한 달러를 구하지 못하면 지급불능처럼 보인다.</w:t>
      </w:r>
    </w:p>
    <w:p>
      <w:pPr>
        <w:pStyle w:val="aff3"/>
        <w:spacing w:line="259" w:lineRule="auto"/>
      </w:pPr>
      <w:r>
        <w:rPr>
          <w:rFonts w:ascii="KoPubWorld바탕체_Pro Light" w:hAnsi="KoPubWorld바탕체_Pro Light" w:eastAsia="KoPubWorld바탕체_Pro Light" w:cs="KoPubWorld바탕체_Pro Light"/>
          <w:sz w:val="16"/>
        </w:rPr>
        <w:t>이 둘을 구분하는 일은 정책적으로 중요하지만 위기 현장에서는 쉽지 않다. 일시적으로 달러만 부족한 기관에는 유동성을 공급하면 된다. 자산가치가 이미 부채보다 낮은 기관에 같은 처방을 쓰면 공공자금으로 손실 인식을 미루게 된다. 환율과 자산가격이 동시에 급락하면 평가액 자체가 매시간 달라져 어느 쪽인지 판단하기 더 어렵다. 그래서 위기 대출에는 충분한 규모와 빠른 집행뿐 아니라 자산 실사와 자본확충 조건이 함께 요구된다.</w:t>
      </w:r>
    </w:p>
    <w:p>
      <w:pPr>
        <w:pStyle w:val="aff3"/>
        <w:spacing w:line="259" w:lineRule="auto"/>
      </w:pPr>
      <w:r>
        <w:rPr>
          <w:rFonts w:ascii="KoPubWorld바탕체_Pro Light" w:hAnsi="KoPubWorld바탕체_Pro Light" w:eastAsia="KoPubWorld바탕체_Pro Light" w:cs="KoPubWorld바탕체_Pro Light"/>
          <w:sz w:val="16"/>
        </w:rPr>
        <w:t>국내 금융자유화와 자본 유입이 감독 역량보다 빨랐다는 점도 중요했다. 은행과 비은행 금융회사는 부동산과 기업집단에 신용을 집중했고, 암묵적인 정부 지원 기대는 채권자가 위험을 덜 따지게 했다. 그렇다고 위기를 ‘아시아식 정실자본주의’ 하나로 설명할 수는 없다. 해외 대출기관도 짧은 만기와 낮은 위험 프리미엄으로 자금을 공급했고, 선진국의 금융환경 변화가 자금의 유입과 회수에 영향을 주었다.</w:t>
      </w:r>
    </w:p>
    <w:p>
      <w:pPr>
        <w:pStyle w:val="aff3"/>
        <w:spacing w:line="259" w:lineRule="auto"/>
      </w:pPr>
      <w:r>
        <w:rPr>
          <w:rFonts w:ascii="KoPubWorld바탕체_Pro Light" w:hAnsi="KoPubWorld바탕체_Pro Light" w:eastAsia="KoPubWorld바탕체_Pro Light" w:cs="KoPubWorld바탕체_Pro Light"/>
          <w:sz w:val="16"/>
        </w:rPr>
        <w:t>감염이라는 말은 공포가 근거 없이 번졌다는 인상을 준다. 실제로 나라별 재정 상태, 외환보유, 기업부채 구조는 달랐다. 그러나 투자자 입장에서는 한 나라에서 드러난 정보가 다른 나라의 불투명한 장부를 다시 평가하게 만드는 신호였다. 합리적인 재평가와 무차별적인 매도가 함께 일어날 수 있었다. 위기는 기초여건과 시장 심리 중 하나만으로 설명되지 않는다.</w:t>
      </w:r>
    </w:p>
    <w:p>
      <w:pPr>
        <w:pStyle w:val="aff3"/>
        <w:spacing w:line="259" w:lineRule="auto"/>
      </w:pPr>
      <w:r>
        <w:rPr>
          <w:rFonts w:ascii="KoPubWorld바탕체_Pro Light" w:hAnsi="KoPubWorld바탕체_Pro Light" w:eastAsia="KoPubWorld바탕체_Pro Light" w:cs="KoPubWorld바탕체_Pro Light"/>
          <w:sz w:val="16"/>
        </w:rPr>
        <w:t>국제 투자자의 포트폴리오 제약도 전염을 만들었다. 한 시장에서 손실을 본 기관은 위험한 나라만 선별해서 팔 여유가 없을 수 있다. 증거금을 맞추거나 본국 투자자의 환매에 응하려면 당장 팔 수 있는 다른 나라 자산까지 처분해야 한다. 한 국가의 유동성 높은 시장이 오히려 먼저 매도 대상이 되는 역설이 생긴다. 국가별 건전성 분석만으로는 공통 채권자와 펀딩 시장을 통한 연결을 잡아내기 어렵다.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방콕에서 자카르타와 서울로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태국의 환율변경은 지역 전체를 똑같은 경제로 만들지 않았다. 인도네시아의 기업부채와 은행 연결, 한국의 종합금융회사와 기업집단, 말레이시아의 자본시장 구조는 달랐다. 그러나 국제 채권자가 묻는 질문은 빠르게 비슷해졌다. 외화부채가 얼마나 짧은가, 환율이 움직이면 누가 손실을 떠안는가, 중앙은행이 당장 쓸 수 있는 달러는 얼마인가. 한 나라의 장부에서 발견된 약점이 다른 나라의 불투명한 숫자를 다시 읽게 만드는 비교표가 되었다.</w:t>
      </w:r>
      <w:r>
        <w:rPr>
          <w:rFonts w:ascii="KoPubWorld바탕체_Pro Light" w:hAnsi="KoPubWorld바탕체_Pro Light" w:eastAsia="KoPubWorld바탕체_Pro Light" w:cs="KoPubWorld바탕체_Pro Light"/>
          <w:sz w:val="14"/>
          <w:vertAlign w:val="superscript"/>
        </w:rPr>
        <w:t>83</w:t>
      </w:r>
    </w:p>
    <w:p>
      <w:pPr>
        <w:pStyle w:val="aff3"/>
        <w:spacing w:line="259" w:lineRule="auto"/>
      </w:pPr>
      <w:r>
        <w:rPr>
          <w:rFonts w:ascii="KoPubWorld바탕체_Pro Light" w:hAnsi="KoPubWorld바탕체_Pro Light" w:eastAsia="KoPubWorld바탕체_Pro Light" w:cs="KoPubWorld바탕체_Pro Light"/>
          <w:sz w:val="16"/>
        </w:rPr>
        <w:t>이 과정에서 감염은 단순한 소문의 전파가 아니었다. 같은 국제은행이 여러 나라에 대출했다면 한 시장의 손실이 본점의 위험한도를 줄이고 다른 시장의 회수를 부른다. 펀드가 환매와 증거금 요구를 맞추려면 문제가 가장 큰 자산이 아니라 가장 빨리 팔 수 있는 자산부터 처분할 수 있다. 나라별로 다른 위험이 공통 채권자와 달러 조달시장을 거치며 같은 방향의 매도로 바뀌었다.</w:t>
      </w:r>
    </w:p>
    <w:p>
      <w:pPr>
        <w:pStyle w:val="aff3"/>
        <w:spacing w:line="259" w:lineRule="auto"/>
      </w:pPr>
      <w:r>
        <w:rPr>
          <w:rFonts w:ascii="KoPubWorld바탕체_Pro Light" w:hAnsi="KoPubWorld바탕체_Pro Light" w:eastAsia="KoPubWorld바탕체_Pro Light" w:cs="KoPubWorld바탕체_Pro Light"/>
          <w:sz w:val="16"/>
        </w:rPr>
        <w:t>한국의 높은 기업부채와 금융기관의 단기 외화차입은 이 지역적 재평가 속에서 만기 장벽을 만났다. 공식 지원이 승인되어도 민간 단기외채의 차환이 회복되지 않으면 발표된 총액과 오늘 사용할 달러 사이에는 틈이 남았다.</w:t>
      </w:r>
      <w:r>
        <w:rPr>
          <w:rFonts w:ascii="KoPubWorld바탕체_Pro Light" w:hAnsi="KoPubWorld바탕체_Pro Light" w:eastAsia="KoPubWorld바탕체_Pro Light" w:cs="KoPubWorld바탕체_Pro Light"/>
          <w:sz w:val="14"/>
          <w:vertAlign w:val="superscript"/>
        </w:rPr>
        <w:t>84,85</w:t>
      </w:r>
      <w:r>
        <w:rPr>
          <w:rFonts w:ascii="KoPubWorld바탕체_Pro Light" w:hAnsi="KoPubWorld바탕체_Pro Light" w:eastAsia="KoPubWorld바탕체_Pro Light" w:cs="KoPubWorld바탕체_Pro Light"/>
          <w:sz w:val="16"/>
        </w:rPr>
        <w:t xml:space="preserve"> 12월 말의 추가 조치와 채권은행 만기 연장 협의는 자금의 규모만큼 채권자 행동의 조정이 중요했음을 보여 주었다.</w:t>
      </w:r>
      <w:r>
        <w:rPr>
          <w:rFonts w:ascii="KoPubWorld바탕체_Pro Light" w:hAnsi="KoPubWorld바탕체_Pro Light" w:eastAsia="KoPubWorld바탕체_Pro Light" w:cs="KoPubWorld바탕체_Pro Light"/>
          <w:sz w:val="14"/>
          <w:vertAlign w:val="superscript"/>
        </w:rPr>
        <w:t>86,87</w:t>
      </w:r>
      <w:r>
        <w:rPr>
          <w:rFonts w:ascii="KoPubWorld바탕체_Pro Light" w:hAnsi="KoPubWorld바탕체_Pro Light" w:eastAsia="KoPubWorld바탕체_Pro Light" w:cs="KoPubWorld바탕체_Pro Light"/>
          <w:sz w:val="16"/>
        </w:rPr>
        <w:t xml:space="preserve"> 종합금융회사, 11~12월의 결정과 예금 전액보호의 구체적 순서는 25장에서 한국의 국내사로 다시 살핀다.</w:t>
      </w:r>
    </w:p>
    <w:p>
      <w:pPr>
        <w:pStyle w:val="aff3"/>
        <w:spacing w:line="259" w:lineRule="auto"/>
      </w:pPr>
      <w:r>
        <w:rPr>
          <w:rFonts w:ascii="KoPubWorld바탕체_Pro Light" w:hAnsi="KoPubWorld바탕체_Pro Light" w:eastAsia="KoPubWorld바탕체_Pro Light" w:cs="KoPubWorld바탕체_Pro Light"/>
          <w:sz w:val="16"/>
        </w:rPr>
        <w:t>중앙은행은 자국 통화를 만들 수 있지만 달러를 만들 수 없다. 금리를 올리면 환율 방어에 도움이 될 수 있으나 자국 통화 부채가 많은 기업의 이자 부담을 키운다. 금리를 내리면 국내 부도를 줄일 수 있지만 통화 하락을 자극해 외화부채의 원화 가치를 키울 수 있다. 태국·인도네시아·한국의 경로는 달랐지만, 어느 손실을 먼저 감당할 것인지 선택해야 한다는 제약은 공유했다.</w:t>
      </w:r>
    </w:p>
    <w:p>
      <w:pPr>
        <w:pStyle w:val="aff3"/>
        <w:spacing w:line="259" w:lineRule="auto"/>
      </w:pPr>
      <w:r>
        <w:rPr>
          <w:rFonts w:ascii="KoPubWorld바탕체_Pro Light" w:hAnsi="KoPubWorld바탕체_Pro Light" w:eastAsia="KoPubWorld바탕체_Pro Light" w:cs="KoPubWorld바탕체_Pro Light"/>
          <w:sz w:val="16"/>
        </w:rPr>
        <w:t>민간 채권자의 만기 연장은 호의가 아니라 조정의 문제였다. 각 은행은 다른 은행도 계속 빌려준다면 자신도 연장하는 편이 회수 가능성을 높일 수 있다. 그러나 남들이 먼저 빠질 것이라 예상하면 먼저 상환을 요구하는 것이 유리하다. 개별적으로 합리적인 행동이 모두의 손실을 키울 때, 국제기구와 정부는 돈을 공급하는 일과 함께 채권자를 같은 정보와 시간표 위에 올려놓아야 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IMF 처방을 둘러싼 논쟁</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초기 프로그램은 긴축적 통화정책, 재정 조정, 금융기관 폐쇄와 자본확충, 기업 구조개혁을 묶었다. 지지자들은 통화가치의 추락을 멈추고 신뢰를 되찾으려면 금리를 올리며 부실 금융기관을 신속히 정리해야 했다고 본다. 지급능력이 없는 기관을 계속 살려두면 중앙은행 자금과 예금보호만 소진되고, 불확실성이 길어진다는 논리였다.</w:t>
      </w:r>
      <w:r>
        <w:rPr>
          <w:rFonts w:ascii="KoPubWorld바탕체_Pro Light" w:hAnsi="KoPubWorld바탕체_Pro Light" w:eastAsia="KoPubWorld바탕체_Pro Light" w:cs="KoPubWorld바탕체_Pro Light"/>
          <w:sz w:val="14"/>
          <w:vertAlign w:val="superscript"/>
        </w:rPr>
        <w:t>83</w:t>
      </w:r>
    </w:p>
    <w:p>
      <w:pPr>
        <w:pStyle w:val="aff3"/>
        <w:spacing w:line="259" w:lineRule="auto"/>
      </w:pPr>
      <w:r>
        <w:rPr>
          <w:rFonts w:ascii="KoPubWorld바탕체_Pro Light" w:hAnsi="KoPubWorld바탕체_Pro Light" w:eastAsia="KoPubWorld바탕체_Pro Light" w:cs="KoPubWorld바탕체_Pro Light"/>
          <w:sz w:val="16"/>
        </w:rPr>
        <w:t>비판자들은 외국통화 부채가 많은 경제에서 고금리가 기업부도와 은행 손실을 더 키웠다고 지적했다. 위기의 핵심이 과도한 재정적자가 아니라 민간의 외화 유동성이었는데도 전통적인 긴축 처방을 적용했고, 노동시장·기업지배구조 같은 광범위한 조건을 위기 대응 패키지에 실어 정치적 저항과 불확실성을 높였다는 비판이다.</w:t>
      </w:r>
    </w:p>
    <w:p>
      <w:pPr>
        <w:pStyle w:val="aff3"/>
        <w:spacing w:line="259" w:lineRule="auto"/>
      </w:pPr>
      <w:r>
        <w:rPr>
          <w:rFonts w:ascii="KoPubWorld바탕체_Pro Light" w:hAnsi="KoPubWorld바탕체_Pro Light" w:eastAsia="KoPubWorld바탕체_Pro Light" w:cs="KoPubWorld바탕체_Pro Light"/>
          <w:sz w:val="16"/>
        </w:rPr>
        <w:t>IMF 독립평가국은 이후 인도네시아·한국·브라질의 자본계정 위기를 검토했다. 한국의 경우 최초 공식 지원 패키지의 가용성과 양자 지원 조건이 충분히 명확하지 않아 신뢰 회복에 실패했고, 뒤늦은 민간 채권은행의 만기 연장 협의가 중요했다고 평가했다. 또한 핵심 금융·거시 문제를 넘어선 조건이 프로그램의 초점을 흐릴 수 있었고, 대외 커뮤니케이션에도 약점이 있었다고 지적했다.</w:t>
      </w:r>
      <w:r>
        <w:rPr>
          <w:rFonts w:ascii="KoPubWorld바탕체_Pro Light" w:hAnsi="KoPubWorld바탕체_Pro Light" w:eastAsia="KoPubWorld바탕체_Pro Light" w:cs="KoPubWorld바탕체_Pro Light"/>
          <w:sz w:val="14"/>
          <w:vertAlign w:val="superscript"/>
        </w:rPr>
        <w:t>87</w:t>
      </w:r>
    </w:p>
    <w:p>
      <w:pPr>
        <w:pStyle w:val="aff3"/>
        <w:spacing w:line="259" w:lineRule="auto"/>
      </w:pPr>
      <w:r>
        <w:rPr>
          <w:rFonts w:ascii="KoPubWorld바탕체_Pro Light" w:hAnsi="KoPubWorld바탕체_Pro Light" w:eastAsia="KoPubWorld바탕체_Pro Light" w:cs="KoPubWorld바탕체_Pro Light"/>
          <w:sz w:val="16"/>
        </w:rPr>
        <w:t>이 평가는 ‘IMF가 모두 틀렸다’는 결론도, ‘시장이 모두 잘못했다’는 결론도 아니다. 부실 금융기관을 정리하고 감독을 강화할 필요는 컸다. 동시에 유동성 공황에서는 공식 자금의 규모와 집행 속도, 민간 채권자의 공동행동이 거시 긴축만큼 중요했다. 구조개혁의 필요성과 위기 한복판에서 그것을 어떤 순서로 요구할지는 다른 질문이다.</w:t>
      </w:r>
    </w:p>
    <w:p>
      <w:pPr>
        <w:pStyle w:val="aff3"/>
        <w:spacing w:line="259" w:lineRule="auto"/>
      </w:pPr>
      <w:r>
        <w:rPr>
          <w:rFonts w:ascii="KoPubWorld바탕체_Pro Light" w:hAnsi="KoPubWorld바탕체_Pro Light" w:eastAsia="KoPubWorld바탕체_Pro Light" w:cs="KoPubWorld바탕체_Pro Light"/>
          <w:sz w:val="16"/>
        </w:rPr>
        <w:t>반사실을 생각하면 논쟁의 어려움이 드러난다. 금리를 덜 올렸다면 기업부도는 줄었을 수 있지만 통화가 더 급락해 외화부채가 커졌을 수도 있다. 재정을 더 확장했다면 수요를 떠받쳤겠지만 초기에는 시장이 정부의 상환 능력을 의심했을 수도 있다. 구조개혁을 뒤로 미뤘다면 협상은 단순해졌겠지만 부실 금융기관의 손실은 계속 불어났을 수 있다. 좋은 평가는 결과가 나쁜 정책을 자동으로 잘못이라 부르지 않고, 당시 가능한 선택과 전달 경로를 비교해야 한다.</w:t>
      </w:r>
    </w:p>
    <w:p>
      <w:pPr>
        <w:pStyle w:val="aff3"/>
        <w:spacing w:line="259" w:lineRule="auto"/>
      </w:pPr>
      <w:r>
        <w:rPr>
          <w:rFonts w:ascii="KoPubWorld바탕체_Pro Light" w:hAnsi="KoPubWorld바탕체_Pro Light" w:eastAsia="KoPubWorld바탕체_Pro Light" w:cs="KoPubWorld바탕체_Pro Light"/>
          <w:sz w:val="16"/>
        </w:rPr>
        <w:t>정책 논쟁은 당시 이용할 수 있었던 정보의 한계도 고려해야 한다. 외환보유액의 총액과 실제 즉시 사용 가능한 금액이 달랐고, 금융기관의 해외지점 차입과 지급보증이 한눈에 잡히지 않았다. 투명성 강화가 해법으로 제시된 이유다. 하지만 불완전한 정보를 공개하는 순간 시장이 더 급하게 도망갈 수도 있다. 투명성은 신뢰의 토대이지만, 유동성 안전망 없이 공개만 늘리면 공황을 앞당길 수 있다.</w:t>
      </w:r>
      <w:r>
        <w:rPr>
          <w:rFonts w:ascii="KoPubWorld바탕체_Pro Light" w:hAnsi="KoPubWorld바탕체_Pro Light" w:eastAsia="KoPubWorld바탕체_Pro Light" w:cs="KoPubWorld바탕체_Pro Light"/>
          <w:sz w:val="14"/>
          <w:vertAlign w:val="superscript"/>
        </w:rPr>
        <w:t>87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위기를 국제표준으로 번역하다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위기가 지나가자 각국은 부실 금융기관을 정리하고 은행 자본을 보강했지만, 개혁의 목록은 국내에만 머물지 않았다. 외화부채의 만기, 실제 사용 가능한 외환보유액, 국제은행의 국가별 익스포저를 더 잘 공시해야 한다는 요구가 커졌다. 회계와 감사, 지급결제, 감독기관의 권한과 기업지배구조까지 서로 연결된 점검표로 묶였다.</w:t>
      </w:r>
      <w:r>
        <w:rPr>
          <w:rFonts w:ascii="KoPubWorld바탕체_Pro Light" w:hAnsi="KoPubWorld바탕체_Pro Light" w:eastAsia="KoPubWorld바탕체_Pro Light" w:cs="KoPubWorld바탕체_Pro Light"/>
          <w:sz w:val="14"/>
          <w:vertAlign w:val="superscript"/>
        </w:rPr>
        <w:t>83,88</w:t>
      </w:r>
    </w:p>
    <w:p>
      <w:pPr>
        <w:pStyle w:val="aff3"/>
        <w:spacing w:line="259" w:lineRule="auto"/>
      </w:pPr>
      <w:r>
        <w:rPr>
          <w:rFonts w:ascii="KoPubWorld바탕체_Pro Light" w:hAnsi="KoPubWorld바탕체_Pro Light" w:eastAsia="KoPubWorld바탕체_Pro Light" w:cs="KoPubWorld바탕체_Pro Light"/>
          <w:sz w:val="16"/>
        </w:rPr>
        <w:t>한국의 은행 정리는 이 번역이 국내에서 어떻게 집행되는지 보여 주는 사례였다. 1998년 6월 금융당국은 자기자본비율 기준에 미달해 정상화 계획을 낸 은행을 심사하고 일부를 자산·부채 이전 방식으로 정리했다.</w:t>
      </w:r>
      <w:r>
        <w:rPr>
          <w:rFonts w:ascii="KoPubWorld바탕체_Pro Light" w:hAnsi="KoPubWorld바탕체_Pro Light" w:eastAsia="KoPubWorld바탕체_Pro Light" w:cs="KoPubWorld바탕체_Pro Light"/>
          <w:sz w:val="14"/>
          <w:vertAlign w:val="superscript"/>
        </w:rPr>
        <w:t>89</w:t>
      </w:r>
      <w:r>
        <w:rPr>
          <w:rFonts w:ascii="KoPubWorld바탕체_Pro Light" w:hAnsi="KoPubWorld바탕체_Pro Light" w:eastAsia="KoPubWorld바탕체_Pro Light" w:cs="KoPubWorld바탕체_Pro Light"/>
          <w:sz w:val="16"/>
        </w:rPr>
        <w:t xml:space="preserve"> 그러나 이 장에서 중요한 것은 어느 은행이 닫혔는지의 국내 순서가 아니다. 국경을 넘은 달러 위기가 ‘자본·공시·감독의 표준을 맞추라’는 국제적 언어로 바뀌었다는 점이다. 한국의 감독개편 자체는 25장과 26장에서 이어진다.</w:t>
      </w:r>
    </w:p>
    <w:p>
      <w:pPr>
        <w:pStyle w:val="aff3"/>
        <w:spacing w:line="259" w:lineRule="auto"/>
      </w:pPr>
      <w:r>
        <w:rPr>
          <w:rFonts w:ascii="KoPubWorld바탕체_Pro Light" w:hAnsi="KoPubWorld바탕체_Pro Light" w:eastAsia="KoPubWorld바탕체_Pro Light" w:cs="KoPubWorld바탕체_Pro Light"/>
          <w:sz w:val="16"/>
        </w:rPr>
        <w:t>1999년 주요 20개국 재무장관·중앙은행 총재 회의가 출범했고, 같은 해 금융안정포럼이 만들어져 여러 국제 기준 제정기관의 협력을 조정했다.</w:t>
      </w:r>
      <w:r>
        <w:rPr>
          <w:rFonts w:ascii="KoPubWorld바탕체_Pro Light" w:hAnsi="KoPubWorld바탕체_Pro Light" w:eastAsia="KoPubWorld바탕체_Pro Light" w:cs="KoPubWorld바탕체_Pro Light"/>
          <w:sz w:val="14"/>
          <w:vertAlign w:val="superscript"/>
        </w:rPr>
        <w:t>88</w:t>
      </w:r>
      <w:r>
        <w:rPr>
          <w:rFonts w:ascii="KoPubWorld바탕체_Pro Light" w:hAnsi="KoPubWorld바탕체_Pro Light" w:eastAsia="KoPubWorld바탕체_Pro Light" w:cs="KoPubWorld바탕체_Pro Light"/>
          <w:sz w:val="16"/>
        </w:rPr>
        <w:t xml:space="preserve"> 위기를 보는 단위는 개별 은행의 자본에서 국가의 외화 유동성, 민간부문의 만기 구조와 공통 상대방으로 넓어졌다. 서로 다른 기관이 만든 기준을 한데 보려는 시도는 위험이 업권과 국경 사이를 이동한다는 반성이었다.</w:t>
      </w:r>
    </w:p>
    <w:p>
      <w:pPr>
        <w:pStyle w:val="aff3"/>
        <w:spacing w:line="259" w:lineRule="auto"/>
      </w:pPr>
      <w:r>
        <w:rPr>
          <w:rFonts w:ascii="KoPubWorld바탕체_Pro Light" w:hAnsi="KoPubWorld바탕체_Pro Light" w:eastAsia="KoPubWorld바탕체_Pro Light" w:cs="KoPubWorld바탕체_Pro Light"/>
          <w:sz w:val="16"/>
        </w:rPr>
        <w:t>하지만 국제표준은 세계정부의 법률이 아니었다. 기준 제정기관이 문서를 발표해도 효력은 각국 법과 감독 실무를 통해 생긴다. 같은 문구를 받아들여도 회계자료의 질, 감독자의 독립성, 부실을 조기에 인정하게 할 권한이 다르면 결과가 달라진다. 표준화는 비교 가능한 언어를 만들 수 있지만 집행 역량의 차이를 지우지는 못한다.</w:t>
      </w:r>
    </w:p>
    <w:p>
      <w:pPr>
        <w:pStyle w:val="aff3"/>
        <w:spacing w:line="259" w:lineRule="auto"/>
      </w:pPr>
      <w:r>
        <w:rPr>
          <w:rFonts w:ascii="KoPubWorld바탕체_Pro Light" w:hAnsi="KoPubWorld바탕체_Pro Light" w:eastAsia="KoPubWorld바탕체_Pro Light" w:cs="KoPubWorld바탕체_Pro Light"/>
          <w:sz w:val="16"/>
        </w:rPr>
        <w:t>누가 표준을 정하는지도 정치의 문제였다. 위기국은 자금이 급한 순간에 기준을 받아들였고, 국제 채권을 공급한 금융중심국의 규칙과 전문성이 보편적 모범으로 제시되기 쉬웠다. 그렇다고 공통기준을 권력의 산물이라고만 치부하면 국가별 장부를 비교하고 위험을 조기에 발견할 도구를 잃는다. 필요한 질문은 표준이 필요한가 아닌가보다, 위기를 만든 채무자와 채권자 양쪽의 책임을 같은 강도로 측정하는가이다.</w:t>
      </w:r>
    </w:p>
    <w:p>
      <w:pPr>
        <w:pStyle w:val="aff3"/>
        <w:spacing w:line="259" w:lineRule="auto"/>
      </w:pPr>
      <w:r>
        <w:rPr>
          <w:rFonts w:ascii="KoPubWorld바탕체_Pro Light" w:hAnsi="KoPubWorld바탕체_Pro Light" w:eastAsia="KoPubWorld바탕체_Pro Light" w:cs="KoPubWorld바탕체_Pro Light"/>
          <w:sz w:val="16"/>
        </w:rPr>
        <w:t>평가와 조건부 지원이 연결되면 표준은 형식상 비구속적이어도 강한 힘을 갖는다. 자금지원, 시장 접근과 국가신용 판단에서 준수 여부가 사용되기 때문이다. 이 힘은 개혁을 앞당길 수 있지만 위기 한복판에서 여러 제도를 동시에 바꾸도록 압박해 행정역량을 분산시킬 수도 있다. 국제표준의 정당성은 기술적 정교함뿐 아니라 우선순위와 이행 속도를 누가 결정하는지에 달려 있었다.</w:t>
      </w:r>
    </w:p>
    <w:p>
      <w:pPr>
        <w:pStyle w:val="aff3"/>
        <w:spacing w:line="259" w:lineRule="auto"/>
      </w:pPr>
      <w:r>
        <w:rPr>
          <w:rFonts w:ascii="KoPubWorld바탕체_Pro Light" w:hAnsi="KoPubWorld바탕체_Pro Light" w:eastAsia="KoPubWorld바탕체_Pro Light" w:cs="KoPubWorld바탕체_Pro Light"/>
          <w:sz w:val="16"/>
        </w:rPr>
        <w:t>아시아 위기가 남긴 해석은 지금도 갈린다. 한쪽은 고정환율과 약한 감독, 정실 대출이 위기를 불렀다고 본다. 다른 쪽은 성급한 자본시장 개방과 국제 채권자의 집단 회수가 건전한 경제까지 무너뜨렸다고 본다. 더 설득력 있는 그림은 두 층을 겹친다. 국내의 만기·통화 불일치가 불씨였고, 국제 자금의 동시 회수가 산소였다. 따라서 표준도 차입국의 감독만이 아니라 국제은행의 대출 관행과 공통 펀딩 위험을 함께 비춰야 했다.</w:t>
      </w:r>
      <w:r>
        <w:rPr>
          <w:rFonts w:ascii="KoPubWorld바탕체_Pro Light" w:hAnsi="KoPubWorld바탕체_Pro Light" w:eastAsia="KoPubWorld바탕체_Pro Light" w:cs="KoPubWorld바탕체_Pro Light"/>
          <w:sz w:val="14"/>
          <w:vertAlign w:val="superscript"/>
        </w:rPr>
        <w:t>88</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자본이 충분해도 달러가 없을 수 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 I은 손실을 흡수할 자본을 물었다. 아시아 위기는 오늘 만기가 돌아오는 외화를 갚을 현금이 있는지를 물었다. 장기적으로 자산이 부채보다 많아도 유동성은 하루 만에 사라질 수 있다. 특히 자국 통화가 아닌 달러 부채에는 국내 중앙은행의 최종대부자 능력이 제한된다.</w:t>
      </w:r>
      <w:r>
        <w:rPr>
          <w:rFonts w:ascii="KoPubWorld바탕체_Pro Light" w:hAnsi="KoPubWorld바탕체_Pro Light" w:eastAsia="KoPubWorld바탕체_Pro Light" w:cs="KoPubWorld바탕체_Pro Light"/>
          <w:sz w:val="14"/>
          <w:vertAlign w:val="superscript"/>
        </w:rPr>
        <w:t>75,87</w:t>
      </w:r>
    </w:p>
    <w:p>
      <w:pPr>
        <w:pStyle w:val="aff3"/>
        <w:spacing w:line="259" w:lineRule="auto"/>
      </w:pPr>
      <w:r>
        <w:rPr>
          <w:rFonts w:ascii="KoPubWorld바탕체_Pro Light" w:hAnsi="KoPubWorld바탕체_Pro Light" w:eastAsia="KoPubWorld바탕체_Pro Light" w:cs="KoPubWorld바탕체_Pro Light"/>
          <w:sz w:val="16"/>
        </w:rPr>
        <w:t>따라서 금융개방의 안전장치는 자본비율만으로 완성되지 않는다. 외화 유동성, 만기 집중, 연결된 상대방, 환율 충격을 함께 점검해야 한다. 외환보유액이라는 국가의 완충재와 은행 자본이라는 기관의 완충재도 서로 대체되지 않는다. 위기 때 누가 달러를 공급하고 민간 채권자를 어떻게 협상 테이블에 앉힐지까지 준비해야 한다.</w:t>
      </w:r>
    </w:p>
    <w:p>
      <w:pPr>
        <w:pStyle w:val="aff3"/>
        <w:spacing w:line="259" w:lineRule="auto"/>
      </w:pPr>
      <w:r>
        <w:rPr>
          <w:rFonts w:ascii="KoPubWorld바탕체_Pro Light" w:hAnsi="KoPubWorld바탕체_Pro Light" w:eastAsia="KoPubWorld바탕체_Pro Light" w:cs="KoPubWorld바탕체_Pro Light"/>
          <w:sz w:val="16"/>
        </w:rPr>
        <w:t>1997년의 교훈은 문을 영원히 닫으라는 것이 아니다. 자본은 투자와 성장을 돕지만 들어올 때의 속도보다 나갈 때의 속도가 훨씬 빠를 수 있다는 것이다. 자유화는 유입의 편익을 계산하는 정책이면서 동시에 역전의 비용을 설계하는 정책이어야 한다. 그런데 2000년대의 금융은 은행 대출보다 더 복잡한 증권과 파생상품, 장부 밖 기구를 통해 움직이기 시작했다. 다음에는 달러가 마르는 곳조차 은행의 대차대조표 밖에 숨어 있게 된다.</w:t>
      </w:r>
      <w:r>
        <w:rPr>
          <w:rFonts w:ascii="KoPubWorld바탕체_Pro Light" w:hAnsi="KoPubWorld바탕체_Pro Light" w:eastAsia="KoPubWorld바탕체_Pro Light" w:cs="KoPubWorld바탕체_Pro Light"/>
          <w:sz w:val="14"/>
          <w:vertAlign w:val="superscript"/>
        </w:rPr>
        <w:t>87,88</w:t>
      </w:r>
    </w:p>
    <w:p>
      <w:pPr>
        <w:pStyle w:val="aff2"/>
        <w:pageBreakBefore/>
        <w:spacing w:before="440"/>
        <w:jc w:val="center"/>
      </w:pPr>
      <w:r>
        <w:rPr>
          <w:rFonts w:ascii="KoPubWorld바탕체_Pro Bold" w:hAnsi="KoPubWorld바탕체_Pro Bold" w:eastAsia="KoPubWorld바탕체_Pro Bold" w:cs="KoPubWorld바탕체_Pro Bold"/>
          <w:b/>
          <w:sz w:val="24"/>
        </w:rPr>
        <w:t>Chapter. 18</w:t>
      </w:r>
    </w:p>
    <w:p>
      <w:pPr>
        <w:pStyle w:val="aff1"/>
        <w:jc w:val="center"/>
      </w:pPr>
      <w:r>
        <w:rPr>
          <w:rFonts w:ascii="KoPubWorld바탕체_Pro Bold" w:hAnsi="KoPubWorld바탕체_Pro Bold" w:eastAsia="KoPubWorld바탕체_Pro Bold" w:cs="KoPubWorld바탕체_Pro Bold"/>
          <w:b/>
          <w:sz w:val="28"/>
        </w:rPr>
        <w:t>모델이 위험을 재기 시작하다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한 거래일이 끝난 뒤 은행의 위험관리자는 화면에 뜬 숫자를 바라본다. 수천 개의 채권과 주식, 통화, 파생계약의 손익 가능성이 하나의 금액으로 압축되어 있다. ‘정상적인 시장에서 일정한 확률로 하루 동안 이보다 더 잃지 않을 금액.’ 가치-at-위험, 곧 VaR는 경영진이 서로 다른 거래부서를 한 눈금으로 비교하게 해주었다. 위험은 설명의 대상에서 계산의 대상으로 바뀌는 듯했다.</w:t>
      </w:r>
    </w:p>
    <w:p>
      <w:pPr>
        <w:pStyle w:val="aff3"/>
        <w:spacing w:line="259" w:lineRule="auto"/>
      </w:pPr>
      <w:r>
        <w:rPr>
          <w:rFonts w:ascii="KoPubWorld바탕체_Pro Light" w:hAnsi="KoPubWorld바탕체_Pro Light" w:eastAsia="KoPubWorld바탕체_Pro Light" w:cs="KoPubWorld바탕체_Pro Light"/>
          <w:sz w:val="16"/>
        </w:rPr>
        <w:t>바젤위원회는 1996년 시장위험 자본규제 개정에서 일정한 조건을 충족한 은행이 자체 VaR 모형으로 거래계정의 자본 요구량을 산출할 수 있게 했다.</w:t>
      </w:r>
      <w:r>
        <w:rPr>
          <w:rFonts w:ascii="KoPubWorld바탕체_Pro Light" w:hAnsi="KoPubWorld바탕체_Pro Light" w:eastAsia="KoPubWorld바탕체_Pro Light" w:cs="KoPubWorld바탕체_Pro Light"/>
          <w:sz w:val="14"/>
          <w:vertAlign w:val="superscript"/>
        </w:rPr>
        <w:t>80</w:t>
      </w:r>
      <w:r>
        <w:rPr>
          <w:rFonts w:ascii="KoPubWorld바탕체_Pro Light" w:hAnsi="KoPubWorld바탕체_Pro Light" w:eastAsia="KoPubWorld바탕체_Pro Light" w:cs="KoPubWorld바탕체_Pro Light"/>
          <w:sz w:val="16"/>
        </w:rPr>
        <w:t xml:space="preserve"> 감독자는 은행이 보유한 방대한 거래 자료와 계산 능력을 활용할 수 있었다. 은행은 헤지와 분산 효과를 더 정교하게 인정받았다. 규제와 금융공학의 결혼이었다.</w:t>
      </w:r>
    </w:p>
    <w:p>
      <w:pPr>
        <w:pStyle w:val="aff3"/>
        <w:spacing w:line="259" w:lineRule="auto"/>
      </w:pPr>
      <w:r>
        <w:rPr>
          <w:rFonts w:ascii="KoPubWorld바탕체_Pro Light" w:hAnsi="KoPubWorld바탕체_Pro Light" w:eastAsia="KoPubWorld바탕체_Pro Light" w:cs="KoPubWorld바탕체_Pro Light"/>
          <w:sz w:val="16"/>
        </w:rPr>
        <w:t>그러나 화면의 숫자는 위험 그 자체가 아니었다. 선택한 과거 기간, 신뢰수준, 보유기간, 상관관계에 따라 결과가 달라졌다. 어제까지 함께 움직이지 않던 자산이 위기에는 동시에 떨어질 수 있고, 거래가 거의 없는 상품의 가격은 모델에 넣을 자료부터 부족하다. 측정할 수 있다는 자신감은 측정 밖의 세계를 더 작아 보이게 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거친 바구니에서 내부등급으로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 I의 단순한 위험가중치는 공통 기준을 만들었지만 규제 차익을 낳았다. 같은 가중치를 받는 기업대출이라면 은행은 더 높은 수익을 주는 위험한 차주를 선택할 수 있었다. 대출을 증권화해 장부 밖으로 옮기거나 보증을 붙여 법적 형태를 바꾸면 실제 경제위험에 비해 자본 요구량을 낮출 여지도 있었다. 정책당국은 더 세밀한 위험 구분이 필요하다고 보았다.</w:t>
      </w:r>
      <w:r>
        <w:rPr>
          <w:rFonts w:ascii="KoPubWorld바탕체_Pro Light" w:hAnsi="KoPubWorld바탕체_Pro Light" w:eastAsia="KoPubWorld바탕체_Pro Light" w:cs="KoPubWorld바탕체_Pro Light"/>
          <w:sz w:val="14"/>
          <w:vertAlign w:val="superscript"/>
        </w:rPr>
        <w:t>75,90</w:t>
      </w:r>
    </w:p>
    <w:p>
      <w:pPr>
        <w:pStyle w:val="aff3"/>
        <w:spacing w:line="259" w:lineRule="auto"/>
      </w:pPr>
      <w:r>
        <w:rPr>
          <w:rFonts w:ascii="KoPubWorld바탕체_Pro Light" w:hAnsi="KoPubWorld바탕체_Pro Light" w:eastAsia="KoPubWorld바탕체_Pro Light" w:cs="KoPubWorld바탕체_Pro Light"/>
          <w:sz w:val="16"/>
        </w:rPr>
        <w:t>2004년 합의되고 2006년 종합본으로 정리된 바젤 II는 세 개의 축을 세웠다. 첫 번째는 신용·시장·운영 위험에 대한 최소 자본, 두 번째는 감독기관의 검토, 세 번째는 공시를 통한 시장규율이었다. 일정한 요건을 갖춘 은행은 내부등급을 이용해 차주의 부도확률과 손실률을 추정할 수 있었다.</w:t>
      </w:r>
      <w:r>
        <w:rPr>
          <w:rFonts w:ascii="KoPubWorld바탕체_Pro Light" w:hAnsi="KoPubWorld바탕체_Pro Light" w:eastAsia="KoPubWorld바탕체_Pro Light" w:cs="KoPubWorld바탕체_Pro Light"/>
          <w:sz w:val="14"/>
          <w:vertAlign w:val="superscript"/>
        </w:rPr>
        <w:t>90</w:t>
      </w:r>
    </w:p>
    <w:p>
      <w:pPr>
        <w:pStyle w:val="aff3"/>
        <w:spacing w:line="259" w:lineRule="auto"/>
      </w:pPr>
      <w:r>
        <w:rPr>
          <w:rFonts w:ascii="KoPubWorld바탕체_Pro Light" w:hAnsi="KoPubWorld바탕체_Pro Light" w:eastAsia="KoPubWorld바탕체_Pro Light" w:cs="KoPubWorld바탕체_Pro Light"/>
          <w:sz w:val="16"/>
        </w:rPr>
        <w:t>세 축의 설계는 모델만 믿지 않겠다는 뜻이기도 했다. 계산식이 포착하지 못한 위험은 감독자가 추가 자본과 개선을 요구하고, 투자자는 공시된 정보를 보고 은행을 압박하도록 했다. 최소비율, 감독 판단, 시장 감시가 서로의 약점을 보완하는 구조였다.</w:t>
      </w:r>
    </w:p>
    <w:p>
      <w:pPr>
        <w:pStyle w:val="aff3"/>
        <w:spacing w:line="259" w:lineRule="auto"/>
      </w:pPr>
      <w:r>
        <w:rPr>
          <w:rFonts w:ascii="KoPubWorld바탕체_Pro Light" w:hAnsi="KoPubWorld바탕체_Pro Light" w:eastAsia="KoPubWorld바탕체_Pro Light" w:cs="KoPubWorld바탕체_Pro Light"/>
          <w:sz w:val="16"/>
        </w:rPr>
        <w:t>하지만 세 축의 힘은 같지 않았다. 첫 번째 축은 숫자로 계산되어 경영 목표와 시스템에 바로 들어갔다. 두 번째 축은 감독자의 전문성과 독립성에 달렸고, 세 번째 축은 시장 참가자가 복잡한 공시를 이해하며 위기 전에 행동할 것이라는 가정을 필요로 했다. 정량 모델은 명료했고 감독 판단은 논쟁적이었다. 조직 안에서 숫자가 재량보다 우위를 차지하기 쉬웠다.</w:t>
      </w:r>
    </w:p>
    <w:p>
      <w:pPr>
        <w:pStyle w:val="aff3"/>
        <w:spacing w:line="259" w:lineRule="auto"/>
      </w:pPr>
      <w:r>
        <w:rPr>
          <w:rFonts w:ascii="KoPubWorld바탕체_Pro Light" w:hAnsi="KoPubWorld바탕체_Pro Light" w:eastAsia="KoPubWorld바탕체_Pro Light" w:cs="KoPubWorld바탕체_Pro Light"/>
          <w:sz w:val="16"/>
        </w:rPr>
        <w:t>내부등급 방식은 위험에 민감한 만큼 경기에도 민감했다. 호황기에는 부도 자료가 좋아지고 담보가격이 올라 필요한 자본이 줄 수 있다. 신용이 더 늘어 호황을 강화한다. 침체기에 추정 부도율과 손실률이 오르면 자본 요구량이 커지고, 은행은 대출을 줄여 경기를 더 누를 수 있다. 개별 대출의 정교한 측정이 시스템 전체에는 경기순응성을 만들 수 있었다.</w:t>
      </w:r>
    </w:p>
    <w:p>
      <w:pPr>
        <w:pStyle w:val="aff3"/>
        <w:spacing w:line="259" w:lineRule="auto"/>
      </w:pPr>
      <w:r>
        <w:rPr>
          <w:rFonts w:ascii="KoPubWorld바탕체_Pro Light" w:hAnsi="KoPubWorld바탕체_Pro Light" w:eastAsia="KoPubWorld바탕체_Pro Light" w:cs="KoPubWorld바탕체_Pro Light"/>
          <w:sz w:val="16"/>
        </w:rPr>
        <w:t>모형 승인 과정에는 이해관계의 비대칭도 있었다. 은행은 자본 요구가 낮아지면 더 많은 자산을 운용하고 자기자본수익률을 높일 수 있으므로 모형 정교화에 큰 자원을 쓸 유인이 있었다. 감독기관은 여러 은행의 코드와 데이터, 상품을 검증해야 했지만 인력과 보수에는 제약이 있었다. 승인받은 모형이 있다는 사실이 경영진에게 안전 인증처럼 받아들여질 수도 있었다.</w:t>
      </w:r>
    </w:p>
    <w:p>
      <w:pPr>
        <w:pStyle w:val="aff3"/>
        <w:spacing w:line="259" w:lineRule="auto"/>
      </w:pPr>
      <w:r>
        <w:rPr>
          <w:rFonts w:ascii="KoPubWorld바탕체_Pro Light" w:hAnsi="KoPubWorld바탕체_Pro Light" w:eastAsia="KoPubWorld바탕체_Pro Light" w:cs="KoPubWorld바탕체_Pro Light"/>
          <w:sz w:val="16"/>
        </w:rPr>
        <w:t>따라서 모형 위험은 통계의 문제가 아니라 지배구조의 문제다. 누가 가정을 승인하고, 결과가 사업부 목표와 충돌할 때 위험관리 책임자가 거래를 줄일 권한이 있는지, 예외와 한도 초과가 이사회에 보고되는지가 중요하다. 백테스트가 잘 맞아도 조직이 불편한 경고를 무시하면 규제 자본은 종이 방패가 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 펀드가 시장의 출구를 막다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1998년 헤지펀드 롱텀캐피털매니지먼트, LTCM은 높은 레버리지로 여러 시장의 가격 차이가 정상으로 돌아올 것이라는 거래를 크게 쌓았다. 러시아의 채무불이행과 시장 불안 뒤 가격 관계가 예상과 다르게 움직였고, 펀드의 자본이 급감했다. 거래 상대방들은 담보를 더 요구했고 포지션 청산 위험이 커졌다.</w:t>
      </w:r>
      <w:r>
        <w:rPr>
          <w:rFonts w:ascii="KoPubWorld바탕체_Pro Light" w:hAnsi="KoPubWorld바탕체_Pro Light" w:eastAsia="KoPubWorld바탕체_Pro Light" w:cs="KoPubWorld바탕체_Pro Light"/>
          <w:sz w:val="14"/>
          <w:vertAlign w:val="superscript"/>
        </w:rPr>
        <w:t>91,92</w:t>
      </w:r>
    </w:p>
    <w:p>
      <w:pPr>
        <w:pStyle w:val="aff3"/>
        <w:spacing w:line="259" w:lineRule="auto"/>
      </w:pPr>
      <w:r>
        <w:rPr>
          <w:rFonts w:ascii="KoPubWorld바탕체_Pro Light" w:hAnsi="KoPubWorld바탕체_Pro Light" w:eastAsia="KoPubWorld바탕체_Pro Light" w:cs="KoPubWorld바탕체_Pro Light"/>
          <w:sz w:val="16"/>
        </w:rPr>
        <w:t>뉴욕연방준비은행은 주요 채권·거래 상대방을 불러 민간 자본으로 LTCM을 정리하는 협의를 촉진했다. 연준 자금은 투입되지 않았다. 당시 연준 의장은 강제 청산이 얇아진 시장에 대량 매물을 쏟아 여러 금융기관의 손실과 시장 혼란을 키울 수 있었다고 의회에 설명했다.</w:t>
      </w:r>
      <w:r>
        <w:rPr>
          <w:rFonts w:ascii="KoPubWorld바탕체_Pro Light" w:hAnsi="KoPubWorld바탕체_Pro Light" w:eastAsia="KoPubWorld바탕체_Pro Light" w:cs="KoPubWorld바탕체_Pro Light"/>
          <w:sz w:val="14"/>
          <w:vertAlign w:val="superscript"/>
        </w:rPr>
        <w:t>91</w:t>
      </w:r>
    </w:p>
    <w:p>
      <w:pPr>
        <w:pStyle w:val="aff3"/>
        <w:spacing w:line="259" w:lineRule="auto"/>
      </w:pPr>
      <w:r>
        <w:rPr>
          <w:rFonts w:ascii="KoPubWorld바탕체_Pro Light" w:hAnsi="KoPubWorld바탕체_Pro Light" w:eastAsia="KoPubWorld바탕체_Pro Light" w:cs="KoPubWorld바탕체_Pro Light"/>
          <w:sz w:val="16"/>
        </w:rPr>
        <w:t>이 조치는 두 해석을 낳았다. 하나는 중앙은행이 시스템 위험을 줄이되 공적자금 없이 민간의 공동행동을 이끈 성공 사례라는 평가다. 다른 하나는 대형 투자자들이 중앙은행이 붕괴를 막아줄 것이라 기대하게 만든 도덕적 해이라는 비판이다. 실제로 주주는 손실을 입었지만, 거래 상대방이 급격한 청산의 대가를 모두 치르지는 않았다. 어디까지가 시장 기능의 보호이고 어디부터가 특정 기관의 보호인지는 모호했다.</w:t>
      </w:r>
    </w:p>
    <w:p>
      <w:pPr>
        <w:pStyle w:val="aff3"/>
        <w:spacing w:line="259" w:lineRule="auto"/>
      </w:pPr>
      <w:r>
        <w:rPr>
          <w:rFonts w:ascii="KoPubWorld바탕체_Pro Light" w:hAnsi="KoPubWorld바탕체_Pro Light" w:eastAsia="KoPubWorld바탕체_Pro Light" w:cs="KoPubWorld바탕체_Pro Light"/>
          <w:sz w:val="16"/>
        </w:rPr>
        <w:t>LTCM은 개별 포지션의 위험보다 출구의 위험을 보여주었다. 각 거래가 과거 자료상 분산되어 보여도 모두가 동시에 팔면 상관관계가 하나로 수렴한다. 모델은 보유 자산의 가격 변동을 계산했지만, 청산 자체가 가격을 얼마나 움직일지는 충분히 반영하지 못했다. 시장 유동성은 외부 조건이 아니라 참여자의 행동으로 사라지는 변수였다.</w:t>
      </w:r>
    </w:p>
    <w:p>
      <w:pPr>
        <w:pStyle w:val="aff3"/>
        <w:spacing w:line="259" w:lineRule="auto"/>
      </w:pPr>
      <w:r>
        <w:rPr>
          <w:rFonts w:ascii="KoPubWorld바탕체_Pro Light" w:hAnsi="KoPubWorld바탕체_Pro Light" w:eastAsia="KoPubWorld바탕체_Pro Light" w:cs="KoPubWorld바탕체_Pro Light"/>
          <w:sz w:val="16"/>
        </w:rPr>
        <w:t>사건 뒤 미국 대통령 금융시장작업반은 헤지펀드의 레버리지와 거래 상대방의 위험관리, 공시와 감독을 검토해 1999년 보고서를 냈다.</w:t>
      </w:r>
      <w:r>
        <w:rPr>
          <w:rFonts w:ascii="KoPubWorld바탕체_Pro Light" w:hAnsi="KoPubWorld바탕체_Pro Light" w:eastAsia="KoPubWorld바탕체_Pro Light" w:cs="KoPubWorld바탕체_Pro Light"/>
          <w:sz w:val="14"/>
          <w:vertAlign w:val="superscript"/>
        </w:rPr>
        <w:t>92</w:t>
      </w:r>
      <w:r>
        <w:rPr>
          <w:rFonts w:ascii="KoPubWorld바탕체_Pro Light" w:hAnsi="KoPubWorld바탕체_Pro Light" w:eastAsia="KoPubWorld바탕체_Pro Light" w:cs="KoPubWorld바탕체_Pro Light"/>
          <w:sz w:val="16"/>
        </w:rPr>
        <w:t xml:space="preserve"> 핵심은 헤지펀드만의 비밀스러운 거래가 아니었다. 대형 은행과 증권사가 충분한 담보와 한도를 요구하지 않은 채 레버리지를 공급한 연결망의 문제였다.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금융 슈퍼마켓의 약속</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같은 시기 금융회사의 경계도 흐려졌다. 미국은 1999년 금융서비스현대화법, 곧 그램–리치–블라일리법을 제정했다. 법은 일정한 조건 아래 은행, 증권, 보험업을 금융지주회사 안에서 결합할 수 있는 틀을 마련했다.</w:t>
      </w:r>
      <w:r>
        <w:rPr>
          <w:rFonts w:ascii="KoPubWorld바탕체_Pro Light" w:hAnsi="KoPubWorld바탕체_Pro Light" w:eastAsia="KoPubWorld바탕체_Pro Light" w:cs="KoPubWorld바탕체_Pro Light"/>
          <w:sz w:val="14"/>
          <w:vertAlign w:val="superscript"/>
        </w:rPr>
        <w:t>93</w:t>
      </w:r>
    </w:p>
    <w:p>
      <w:pPr>
        <w:pStyle w:val="aff3"/>
        <w:spacing w:line="259" w:lineRule="auto"/>
      </w:pPr>
      <w:r>
        <w:rPr>
          <w:rFonts w:ascii="KoPubWorld바탕체_Pro Light" w:hAnsi="KoPubWorld바탕체_Pro Light" w:eastAsia="KoPubWorld바탕체_Pro Light" w:cs="KoPubWorld바탕체_Pro Light"/>
          <w:sz w:val="16"/>
        </w:rPr>
        <w:t>지지자들은 이미 시장이 칸막이를 우회하고 있으며, 통합 그룹이 고객에게 다양한 서비스를 제공하고 수익원을 분산할 수 있다고 보았다. 기업은 대출과 채권 발행, 위험관리 상품을 한곳에서 조달할 수 있다. 규모와 범위의 경제는 미국 금융회사가 세계 경쟁에서 뒤처지지 않게 한다는 논리였다.</w:t>
      </w:r>
    </w:p>
    <w:p>
      <w:pPr>
        <w:pStyle w:val="aff3"/>
        <w:spacing w:line="259" w:lineRule="auto"/>
      </w:pPr>
      <w:r>
        <w:rPr>
          <w:rFonts w:ascii="KoPubWorld바탕체_Pro Light" w:hAnsi="KoPubWorld바탕체_Pro Light" w:eastAsia="KoPubWorld바탕체_Pro Light" w:cs="KoPubWorld바탕체_Pro Light"/>
          <w:sz w:val="16"/>
        </w:rPr>
        <w:t>비판자들은 상업은행의 안전망이 증권·파생 거래로 번질 수 있다고 우려했다. 예금보험과 중앙은행 대출에 접근하는 그룹이 위험 사업에서 더 싼 자금을 조달하고, 문제가 생기면 그룹 전체가 중요하다는 이유로 지원받을 수 있다. 금융 슈퍼마켓은 분산의 장점과 복잡성의 비용을 함께 키웠다. 법인은 여러 개여도 평판과 유동성은 그룹 전체로 연결되었다.</w:t>
      </w:r>
      <w:r>
        <w:rPr>
          <w:rFonts w:ascii="KoPubWorld바탕체_Pro Light" w:hAnsi="KoPubWorld바탕체_Pro Light" w:eastAsia="KoPubWorld바탕체_Pro Light" w:cs="KoPubWorld바탕체_Pro Light"/>
          <w:sz w:val="14"/>
          <w:vertAlign w:val="superscript"/>
        </w:rPr>
        <w:t>93</w:t>
      </w:r>
    </w:p>
    <w:p>
      <w:pPr>
        <w:pStyle w:val="aff3"/>
        <w:spacing w:line="259" w:lineRule="auto"/>
      </w:pPr>
      <w:r>
        <w:rPr>
          <w:rFonts w:ascii="KoPubWorld바탕체_Pro Light" w:hAnsi="KoPubWorld바탕체_Pro Light" w:eastAsia="KoPubWorld바탕체_Pro Light" w:cs="KoPubWorld바탕체_Pro Light"/>
          <w:sz w:val="16"/>
        </w:rPr>
        <w:t>감독은 다시 이음새 문제에 부딪혔다. 은행 감독자는 예금기관을, 증권 감독자는 브로커딜러를, 보험 감독자는 보험회사를 주로 보았다. 지주회사 차원의 감독이 있어도 각 법인의 자본과 거래가 다른 규칙을 따랐다. 같은 위험이 가장 낮은 규제 비용을 받는 계열사로 이동할 수 있었다. 통합은 위험을 분산하기도 하지만 감독 책임을 희석하기도 했다.</w:t>
      </w:r>
      <w:r>
        <w:rPr>
          <w:rFonts w:ascii="KoPubWorld바탕체_Pro Light" w:hAnsi="KoPubWorld바탕체_Pro Light" w:eastAsia="KoPubWorld바탕체_Pro Light" w:cs="KoPubWorld바탕체_Pro Light"/>
          <w:sz w:val="14"/>
          <w:vertAlign w:val="superscript"/>
        </w:rPr>
        <w:t>93,94</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파생상품에 그어진 법의 경계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장외 파생상품은 금리와 환율, 신용 위험을 맞춤형으로 이전하는 도구였다. 기업은 미래 가격을 고정하고, 은행은 대출 위험을 다른 투자자에게 넘길 수 있었다. 거래소 표준계약과 달리 당사자끼리 조건을 설계하므로 유연했지만 가격과 익스포저가 공개된 시장에 모이지 않았다.</w:t>
      </w:r>
      <w:r>
        <w:rPr>
          <w:rFonts w:ascii="KoPubWorld바탕체_Pro Light" w:hAnsi="KoPubWorld바탕체_Pro Light" w:eastAsia="KoPubWorld바탕체_Pro Light" w:cs="KoPubWorld바탕체_Pro Light"/>
          <w:sz w:val="14"/>
          <w:vertAlign w:val="superscript"/>
        </w:rPr>
        <w:t>95</w:t>
      </w:r>
    </w:p>
    <w:p>
      <w:pPr>
        <w:pStyle w:val="aff3"/>
        <w:spacing w:line="259" w:lineRule="auto"/>
      </w:pPr>
      <w:r>
        <w:rPr>
          <w:rFonts w:ascii="KoPubWorld바탕체_Pro Light" w:hAnsi="KoPubWorld바탕체_Pro Light" w:eastAsia="KoPubWorld바탕체_Pro Light" w:cs="KoPubWorld바탕체_Pro Light"/>
          <w:sz w:val="16"/>
        </w:rPr>
        <w:t>미국의 2000년 상품선물현대화법은 일정한 장외 파생계약에 법적 확실성을 부여하고, 적격 당사자 사이의 거래를 거래소 거래 의무와 일부 규제 범위에서 제외하는 틀을 마련했다.</w:t>
      </w:r>
      <w:r>
        <w:rPr>
          <w:rFonts w:ascii="KoPubWorld바탕체_Pro Light" w:hAnsi="KoPubWorld바탕체_Pro Light" w:eastAsia="KoPubWorld바탕체_Pro Light" w:cs="KoPubWorld바탕체_Pro Light"/>
          <w:sz w:val="14"/>
          <w:vertAlign w:val="superscript"/>
        </w:rPr>
        <w:t>95</w:t>
      </w:r>
      <w:r>
        <w:rPr>
          <w:rFonts w:ascii="KoPubWorld바탕체_Pro Light" w:hAnsi="KoPubWorld바탕체_Pro Light" w:eastAsia="KoPubWorld바탕체_Pro Light" w:cs="KoPubWorld바탕체_Pro Light"/>
          <w:sz w:val="16"/>
        </w:rPr>
        <w:t xml:space="preserve"> 법적 불확실성이 줄면 위험관리 시장이 성장할 수 있다는 기대가 있었다. 그러나 중앙청산과 거래보고가 없는 양자계약은 누가 누구에게 얼마나 노출되어 있는지 감독자와 시장이 파악하기 어렵게 했다.</w:t>
      </w:r>
    </w:p>
    <w:p>
      <w:pPr>
        <w:pStyle w:val="aff3"/>
        <w:spacing w:line="259" w:lineRule="auto"/>
      </w:pPr>
      <w:r>
        <w:rPr>
          <w:rFonts w:ascii="KoPubWorld바탕체_Pro Light" w:hAnsi="KoPubWorld바탕체_Pro Light" w:eastAsia="KoPubWorld바탕체_Pro Light" w:cs="KoPubWorld바탕체_Pro Light"/>
          <w:sz w:val="16"/>
        </w:rPr>
        <w:t>이를 ‘파생상품이 완전히 무규제였다’고 표현하면 지나치게 단순하다. 거래 당사자인 은행과 증권사는 기관 규제를 받았고 계약에는 담보와 상계 조항이 있었다. 문제는 상품시장 차원의 투명성과 일관된 자본·증거금 규칙이 부족했고, 감독기관 사이의 관할 경계가 복잡했다는 데 있었다. 규제된 기관들이 규제의 연결망 밖 계약으로 서로 얽혔다.</w:t>
      </w:r>
    </w:p>
    <w:p>
      <w:pPr>
        <w:pStyle w:val="aff3"/>
        <w:spacing w:line="259" w:lineRule="auto"/>
      </w:pPr>
      <w:r>
        <w:rPr>
          <w:rFonts w:ascii="KoPubWorld바탕체_Pro Light" w:hAnsi="KoPubWorld바탕체_Pro Light" w:eastAsia="KoPubWorld바탕체_Pro Light" w:cs="KoPubWorld바탕체_Pro Light"/>
          <w:sz w:val="16"/>
        </w:rPr>
        <w:t>양자 상계는 두 당사자 사이의 수많은 계약을 순액으로 줄여 평상시 익스포저를 낮춘다. 그러나 한 대형 딜러가 실패하면 여러 상대방이 동시에 계약을 대체하고 담보를 회수하려 한다. 평상시의 순액은 작아 보여도 시장 전체가 새 헤지를 구하는 총수요는 클 수 있다. 법적 상계가 신용위험을 줄이는 것과 시장 충격을 줄이는 것은 다른 문제였다.</w:t>
      </w:r>
      <w:r>
        <w:rPr>
          <w:rFonts w:ascii="KoPubWorld바탕체_Pro Light" w:hAnsi="KoPubWorld바탕체_Pro Light" w:eastAsia="KoPubWorld바탕체_Pro Light" w:cs="KoPubWorld바탕체_Pro Light"/>
          <w:sz w:val="14"/>
          <w:vertAlign w:val="superscript"/>
        </w:rPr>
        <w:t>95,94</w:t>
      </w:r>
    </w:p>
    <w:p>
      <w:pPr>
        <w:pStyle w:val="aff3"/>
        <w:spacing w:line="259" w:lineRule="auto"/>
      </w:pPr>
      <w:r>
        <w:rPr>
          <w:rFonts w:ascii="KoPubWorld바탕체_Pro Light" w:hAnsi="KoPubWorld바탕체_Pro Light" w:eastAsia="KoPubWorld바탕체_Pro Light" w:cs="KoPubWorld바탕체_Pro Light"/>
          <w:sz w:val="16"/>
        </w:rPr>
        <w:t>또한 신용부도스왑은 채권을 직접 보유하지 않아도 신용위험에 대한 포지션을 만들 수 있었다. 위험을 헤지하는 보험과 가격 하락에 베팅하는 거래가 같은 계약 형식을 썼다. 보험처럼 준비금을 요구할지, 파생계약처럼 담보와 시가평가를 적용할지에 따라 규제 결과가 달라졌다. 기능이 업권 분류를 앞질렀다.</w:t>
      </w:r>
    </w:p>
    <w:p>
      <w:pPr>
        <w:pStyle w:val="aff3"/>
        <w:spacing w:line="259" w:lineRule="auto"/>
      </w:pPr>
      <w:r>
        <w:rPr>
          <w:rFonts w:ascii="KoPubWorld바탕체_Pro Light" w:hAnsi="KoPubWorld바탕체_Pro Light" w:eastAsia="KoPubWorld바탕체_Pro Light" w:cs="KoPubWorld바탕체_Pro Light"/>
          <w:sz w:val="16"/>
        </w:rPr>
        <w:t>2004년 미국 증권거래위원회는 대형 투자은행 지주그룹이 연결 기준의 자본과 위험관리 감독을 받는 통합감독기업 프로그램을 운영했다. 참여는 자발적 성격을 가졌고, SEC는 2008년 9월 프로그램을 종료하면서 구조에 근본적인 결함이 있었고 신용부도스왑 시장에 큰 규제 공백이 있었다고 평가했다.</w:t>
      </w:r>
      <w:r>
        <w:rPr>
          <w:rFonts w:ascii="KoPubWorld바탕체_Pro Light" w:hAnsi="KoPubWorld바탕체_Pro Light" w:eastAsia="KoPubWorld바탕체_Pro Light" w:cs="KoPubWorld바탕체_Pro Light"/>
          <w:sz w:val="14"/>
          <w:vertAlign w:val="superscript"/>
        </w:rPr>
        <w:t>94</w:t>
      </w:r>
      <w:r>
        <w:rPr>
          <w:rFonts w:ascii="KoPubWorld바탕체_Pro Light" w:hAnsi="KoPubWorld바탕체_Pro Light" w:eastAsia="KoPubWorld바탕체_Pro Light" w:cs="KoPubWorld바탕체_Pro Light"/>
          <w:sz w:val="16"/>
        </w:rPr>
        <w:t xml:space="preserve"> 대형 그룹의 위험을 보려는 시도는 있었지만 감독 권한과 정보, 집행의 확실성이 시장의 복잡성에 미치지 못했다.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증권화가 만든 그림자 대차대조표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증권화는 대출을 묶어 채권으로 만들고 현금흐름을 여러 층으로 나눴다. 먼저 손실을 받는 후순위층과 나중에 손실을 받는 선순위층을 구분하면 서로 다른 위험선호의 투자자에게 판매할 수 있다. 은행은 대출을 만기까지 보유하지 않고 새 대출에 쓸 자금을 회수했다. 주택담보대출의 공급과 투자자의 선택이 넓어지는 편익이 있었다.</w:t>
      </w:r>
    </w:p>
    <w:p>
      <w:pPr>
        <w:pStyle w:val="aff3"/>
        <w:spacing w:line="259" w:lineRule="auto"/>
      </w:pPr>
      <w:r>
        <w:rPr>
          <w:rFonts w:ascii="KoPubWorld바탕체_Pro Light" w:hAnsi="KoPubWorld바탕체_Pro Light" w:eastAsia="KoPubWorld바탕체_Pro Light" w:cs="KoPubWorld바탕체_Pro Light"/>
          <w:sz w:val="16"/>
        </w:rPr>
        <w:t>그러나 대출을 만든 기관이 곧 팔 수 있다면 차주의 장기 상환능력을 점검할 유인이 약해질 수 있다. 대출 모집인, 원대출자, 투자은행, 특수목적기구, 신용평가사, 최종 투자자가 길게 연결되면서 각자가 다음 단계가 위험을 확인할 것이라 믿었다. 위험은 분산됐지만 책임도 분산됐다.</w:t>
      </w:r>
    </w:p>
    <w:p>
      <w:pPr>
        <w:pStyle w:val="aff3"/>
        <w:spacing w:line="259" w:lineRule="auto"/>
      </w:pPr>
      <w:r>
        <w:rPr>
          <w:rFonts w:ascii="KoPubWorld바탕체_Pro Light" w:hAnsi="KoPubWorld바탕체_Pro Light" w:eastAsia="KoPubWorld바탕체_Pro Light" w:cs="KoPubWorld바탕체_Pro Light"/>
          <w:sz w:val="16"/>
        </w:rPr>
        <w:t>신용평가사는 복잡한 증권의 위험을 등급이라는 공용어로 바꾸었다. 규정과 투자지침이 높은 등급을 자본 요구와 투자 가능 여부에 연결할수록 등급의 영향력은 커졌다. 미국은 2006년 신용평가기관개혁법으로 국가공인 통계적 평가기관의 등록·감독 틀을 강화했다.</w:t>
      </w:r>
      <w:r>
        <w:rPr>
          <w:rFonts w:ascii="KoPubWorld바탕체_Pro Light" w:hAnsi="KoPubWorld바탕체_Pro Light" w:eastAsia="KoPubWorld바탕체_Pro Light" w:cs="KoPubWorld바탕체_Pro Light"/>
          <w:sz w:val="14"/>
          <w:vertAlign w:val="superscript"/>
        </w:rPr>
        <w:t>96</w:t>
      </w:r>
      <w:r>
        <w:rPr>
          <w:rFonts w:ascii="KoPubWorld바탕체_Pro Light" w:hAnsi="KoPubWorld바탕체_Pro Light" w:eastAsia="KoPubWorld바탕체_Pro Light" w:cs="KoPubWorld바탕체_Pro Light"/>
          <w:sz w:val="16"/>
        </w:rPr>
        <w:t xml:space="preserve"> 그러나 발행자가 평가 수수료를 내는 이해상충과 모형 가정의 취약성을 감독만으로 없애기는 어려웠다.</w:t>
      </w:r>
    </w:p>
    <w:p>
      <w:pPr>
        <w:pStyle w:val="aff3"/>
        <w:spacing w:line="259" w:lineRule="auto"/>
      </w:pPr>
      <w:r>
        <w:rPr>
          <w:rFonts w:ascii="KoPubWorld바탕체_Pro Light" w:hAnsi="KoPubWorld바탕체_Pro Light" w:eastAsia="KoPubWorld바탕체_Pro Light" w:cs="KoPubWorld바탕체_Pro Light"/>
          <w:sz w:val="16"/>
        </w:rPr>
        <w:t>평가등급에 대한 규제 의존에는 순환 문제가 있었다. 법과 내부규정이 특정 등급을 안전의 기준으로 쓰면 투자자는 기초자산을 직접 분석할 유인이 줄고, 평가사의 판단은 더 큰 수요를 만든다. 발행자는 원하는 등급이 나올 때까지 구조를 조정하거나 다른 평가사를 찾을 수 있다. 등급은 시장 의견이어야 했지만 제도 안에서는 허가증처럼 작동했다.</w:t>
      </w:r>
      <w:r>
        <w:rPr>
          <w:rFonts w:ascii="KoPubWorld바탕체_Pro Light" w:hAnsi="KoPubWorld바탕체_Pro Light" w:eastAsia="KoPubWorld바탕체_Pro Light" w:cs="KoPubWorld바탕체_Pro Light"/>
          <w:sz w:val="14"/>
          <w:vertAlign w:val="superscript"/>
        </w:rPr>
        <w:t>96</w:t>
      </w:r>
    </w:p>
    <w:p>
      <w:pPr>
        <w:pStyle w:val="aff3"/>
        <w:spacing w:line="259" w:lineRule="auto"/>
      </w:pPr>
      <w:r>
        <w:rPr>
          <w:rFonts w:ascii="KoPubWorld바탕체_Pro Light" w:hAnsi="KoPubWorld바탕체_Pro Light" w:eastAsia="KoPubWorld바탕체_Pro Light" w:cs="KoPubWorld바탕체_Pro Light"/>
          <w:sz w:val="16"/>
        </w:rPr>
        <w:t>여러 평가사가 경쟁하면 정확도가 높아질 것이라는 기대도 단순하지 않다. 평가 비용을 발행자가 내고 투자자가 높은 등급을 원하면 경쟁은 더 엄격한 심사보다 더 유리한 가정을 제공하는 방향으로 흐를 수 있다. 감독은 평가 절차와 이해상충을 볼 수 있지만 미래 부도에 대한 의견 자체를 정부가 보증해서는 안 된다. 규제자는 등급을 감시하면서 동시에 등급 의존을 낮춰야 하는 이중 과제를 안았다.</w:t>
      </w:r>
    </w:p>
    <w:p>
      <w:pPr>
        <w:pStyle w:val="aff3"/>
        <w:spacing w:line="259" w:lineRule="auto"/>
      </w:pPr>
      <w:r>
        <w:rPr>
          <w:rFonts w:ascii="KoPubWorld바탕체_Pro Light" w:hAnsi="KoPubWorld바탕체_Pro Light" w:eastAsia="KoPubWorld바탕체_Pro Light" w:cs="KoPubWorld바탕체_Pro Light"/>
          <w:sz w:val="16"/>
        </w:rPr>
        <w:t>은행 밖에서도 은행과 비슷한 만기 변환이 커졌다. 단기 자금으로 장기 증권을 보유하는 투자기구, 환매조건부 거래, 자산유동화 기업어음, 머니마켓펀드는 예금을 받지 않아도 현금성 부채와 장기 신용을 연결했다. 금융안정위원회는 훗날 이런 ‘그림자금융’을 전통적 은행체계 밖의 신용중개로 보고, 시스템 위험과 규제 차익을 줄이기 위한 감시·규제 원칙을 제시했다.</w:t>
      </w:r>
      <w:r>
        <w:rPr>
          <w:rFonts w:ascii="KoPubWorld바탕체_Pro Light" w:hAnsi="KoPubWorld바탕체_Pro Light" w:eastAsia="KoPubWorld바탕체_Pro Light" w:cs="KoPubWorld바탕체_Pro Light"/>
          <w:sz w:val="14"/>
          <w:vertAlign w:val="superscript"/>
        </w:rPr>
        <w:t>97</w:t>
      </w:r>
    </w:p>
    <w:p>
      <w:pPr>
        <w:pStyle w:val="aff3"/>
        <w:spacing w:line="259" w:lineRule="auto"/>
      </w:pPr>
      <w:r>
        <w:rPr>
          <w:rFonts w:ascii="KoPubWorld바탕체_Pro Light" w:hAnsi="KoPubWorld바탕체_Pro Light" w:eastAsia="KoPubWorld바탕체_Pro Light" w:cs="KoPubWorld바탕체_Pro Light"/>
          <w:sz w:val="16"/>
        </w:rPr>
        <w:t>그림자라는 말은 불법을 뜻하지 않는다. 많은 거래는 기업의 자금조달을 다양화하고 은행 집중을 줄였다. 취약성은 은행과 비슷한 기능을 하면서도 예금보험, 중앙은행 유동성, 자본규제의 조합이 다르다는 데 있었다. 평상시에는 규제가 가벼운 효율로 보이지만, 위기에는 현금성 약속을 지키기 위해 자산을 급매하거나 공적 지원을 요구할 수 있다.</w:t>
      </w:r>
      <w:r>
        <w:rPr>
          <w:rFonts w:ascii="KoPubWorld바탕체_Pro Light" w:hAnsi="KoPubWorld바탕체_Pro Light" w:eastAsia="KoPubWorld바탕체_Pro Light" w:cs="KoPubWorld바탕체_Pro Light"/>
          <w:sz w:val="14"/>
          <w:vertAlign w:val="superscript"/>
        </w:rPr>
        <w:t>97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정교함이 만든 맹점</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1990년대와 2000년대 초의 개혁은 위험을 무시한 시대가 아니었다. 오히려 위험을 더 세밀하게 측정하고 더 넓게 분산하려 한 시대였다. 내부모형, 파생상품, 증권화, 복합금융그룹은 각각 실제 문제에 대한 답이었다. 고정된 규제 바구니의 왜곡을 줄이고, 위험을 감당할 투자자에게 넘기며, 금융서비스의 비용을 낮추려 했다.</w:t>
      </w:r>
      <w:r>
        <w:rPr>
          <w:rFonts w:ascii="KoPubWorld바탕체_Pro Light" w:hAnsi="KoPubWorld바탕체_Pro Light" w:eastAsia="KoPubWorld바탕체_Pro Light" w:cs="KoPubWorld바탕체_Pro Light"/>
          <w:sz w:val="14"/>
          <w:vertAlign w:val="superscript"/>
        </w:rPr>
        <w:t>80,90,93,95</w:t>
      </w:r>
    </w:p>
    <w:p>
      <w:pPr>
        <w:pStyle w:val="aff3"/>
        <w:spacing w:line="259" w:lineRule="auto"/>
      </w:pPr>
      <w:r>
        <w:rPr>
          <w:rFonts w:ascii="KoPubWorld바탕체_Pro Light" w:hAnsi="KoPubWorld바탕체_Pro Light" w:eastAsia="KoPubWorld바탕체_Pro Light" w:cs="KoPubWorld바탕체_Pro Light"/>
          <w:sz w:val="16"/>
        </w:rPr>
        <w:t>실패의 씨앗은 각 해법의 전제에 있었다. 과거 자료가 미래의 극단을 대표하고, 시장 유동성이 필요할 때 남아 있으며, 등급이 복잡한 상관관계를 요약하고, 계약을 통한 위험 이전이 실제 손실 이전과 같다는 전제였다. 개별 거래가 합리적이어도 모두가 같은 모델과 자금조달 방식에 기대면 시스템은 한 방향으로 움직였다.</w:t>
      </w:r>
      <w:r>
        <w:rPr>
          <w:rFonts w:ascii="KoPubWorld바탕체_Pro Light" w:hAnsi="KoPubWorld바탕체_Pro Light" w:eastAsia="KoPubWorld바탕체_Pro Light" w:cs="KoPubWorld바탕체_Pro Light"/>
          <w:sz w:val="14"/>
          <w:vertAlign w:val="superscript"/>
        </w:rPr>
        <w:t>91,90</w:t>
      </w:r>
    </w:p>
    <w:p>
      <w:pPr>
        <w:pStyle w:val="aff3"/>
        <w:spacing w:line="259" w:lineRule="auto"/>
      </w:pPr>
      <w:r>
        <w:rPr>
          <w:rFonts w:ascii="KoPubWorld바탕체_Pro Light" w:hAnsi="KoPubWorld바탕체_Pro Light" w:eastAsia="KoPubWorld바탕체_Pro Light" w:cs="KoPubWorld바탕체_Pro Light"/>
          <w:sz w:val="16"/>
        </w:rPr>
        <w:t>규제자는 위험의 양뿐 아니라 위험을 아는 방식도 감독해야 했다. 모형 결과 옆에 가정과 한계를 놓고, 정상기 자료 밖의 스트레스를 시험하며, 장부 밖 약속과 연결된 상대방을 추적해야 했다. 무엇보다 법적 형식이 아니라 만기 변환과 레버리지라는 경제 기능을 따라가야 했다.</w:t>
      </w:r>
      <w:r>
        <w:rPr>
          <w:rFonts w:ascii="KoPubWorld바탕체_Pro Light" w:hAnsi="KoPubWorld바탕체_Pro Light" w:eastAsia="KoPubWorld바탕체_Pro Light" w:cs="KoPubWorld바탕체_Pro Light"/>
          <w:sz w:val="14"/>
          <w:vertAlign w:val="superscript"/>
        </w:rPr>
        <w:t>90,97</w:t>
      </w:r>
    </w:p>
    <w:p>
      <w:pPr>
        <w:pStyle w:val="aff3"/>
        <w:spacing w:line="259" w:lineRule="auto"/>
      </w:pPr>
      <w:r>
        <w:rPr>
          <w:rFonts w:ascii="KoPubWorld바탕체_Pro Light" w:hAnsi="KoPubWorld바탕체_Pro Light" w:eastAsia="KoPubWorld바탕체_Pro Light" w:cs="KoPubWorld바탕체_Pro Light"/>
          <w:sz w:val="16"/>
        </w:rPr>
        <w:t>다음 위기에는 모든 요소가 한곳에 모인다. 낮은 품질의 주택대출은 증권으로 포장되고, 평가등급은 안전의 표지가 되며, 단기 시장성 자금이 그것을 떠받친다. 모델은 손실이 드물다고 말하지만 집값이 함께 떨어지는 순간 출구는 하나뿐이다. 2008년 9월, 그 출구 앞에 세계의 금융기관들이 동시에 서게 된다.</w:t>
      </w:r>
      <w:r>
        <w:rPr>
          <w:rFonts w:ascii="KoPubWorld바탕체_Pro Light" w:hAnsi="KoPubWorld바탕체_Pro Light" w:eastAsia="KoPubWorld바탕체_Pro Light" w:cs="KoPubWorld바탕체_Pro Light"/>
          <w:sz w:val="14"/>
          <w:vertAlign w:val="superscript"/>
        </w:rPr>
        <w:t>98</w:t>
      </w:r>
    </w:p>
    <w:p>
      <w:pPr>
        <w:pStyle w:val="aff2"/>
        <w:pageBreakBefore/>
        <w:spacing w:before="440"/>
        <w:jc w:val="center"/>
      </w:pPr>
      <w:r>
        <w:rPr>
          <w:rFonts w:ascii="KoPubWorld바탕체_Pro Bold" w:hAnsi="KoPubWorld바탕체_Pro Bold" w:eastAsia="KoPubWorld바탕체_Pro Bold" w:cs="KoPubWorld바탕체_Pro Bold"/>
          <w:b/>
          <w:sz w:val="24"/>
        </w:rPr>
        <w:t>Chapter. 19</w:t>
      </w:r>
    </w:p>
    <w:p>
      <w:pPr>
        <w:pStyle w:val="aff1"/>
        <w:jc w:val="center"/>
      </w:pPr>
      <w:r>
        <w:rPr>
          <w:rFonts w:ascii="KoPubWorld바탕체_Pro Bold" w:hAnsi="KoPubWorld바탕체_Pro Bold" w:eastAsia="KoPubWorld바탕체_Pro Bold" w:cs="KoPubWorld바탕체_Pro Bold"/>
          <w:b/>
          <w:sz w:val="28"/>
        </w:rPr>
        <w:t>일요일 밤, 구제할 수 없는 은행</w:t>
      </w:r>
    </w:p>
    <w:p>
      <w:pPr>
        <w:spacing w:before="60" w:after="0"/>
      </w:pPr>
    </w:p>
    <w:p>
      <w:pPr>
        <w:keepNext/>
        <w:jc w:val="center"/>
      </w:pPr>
      <w:r>
        <w:drawing>
          <wp:inline xmlns:a="http://schemas.openxmlformats.org/drawingml/2006/main" xmlns:pic="http://schemas.openxmlformats.org/drawingml/2006/picture">
            <wp:extent cx="3941063" cy="2218026"/>
            <wp:docPr id="11" name="Picture 11" descr="2008년 9월의 위기 상황실. 개별 기관의 실패가 시장기능 전체의 정지로 번졌다." title="2008년 9월의 위기 상황실. 개별 기관의 실패가 시장기능 전체의 정지로 번졌다."/>
            <wp:cNvGraphicFramePr>
              <a:graphicFrameLocks noChangeAspect="1"/>
            </wp:cNvGraphicFramePr>
            <a:graphic>
              <a:graphicData uri="http://schemas.openxmlformats.org/drawingml/2006/picture">
                <pic:pic>
                  <pic:nvPicPr>
                    <pic:cNvPr id="0" name="ch19_lehman_weekend_gray_q86.jpg"/>
                    <pic:cNvPicPr/>
                  </pic:nvPicPr>
                  <pic:blipFill>
                    <a:blip r:embed="rId48"/>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19. 2008년 9월의 위기 상황실. 개별 기관의 실패가 시장기능 전체의 정지로 번졌다.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2008년 9월 14일 일요일 밤, 뉴욕과 워싱턴의 금융당국자들은 리먼브러더스를 살릴 거래를 찾고 있었다. 반년 전 베어스턴스는 다른 은행에 인수되며 무질서한 파산을 피했다. 그러나 이번에는 공적 손실 보호 없이 리먼을 떠안을 구매자가 나타나지 않았다. 주말이 끝나기 전에 답을 만들어야 했고, 답은 나오지 않았다. 리먼은 9월 15일 파산보호를 신청했다.</w:t>
      </w:r>
      <w:r>
        <w:rPr>
          <w:rFonts w:ascii="KoPubWorld바탕체_Pro Light" w:hAnsi="KoPubWorld바탕체_Pro Light" w:eastAsia="KoPubWorld바탕체_Pro Light" w:cs="KoPubWorld바탕체_Pro Light"/>
          <w:sz w:val="14"/>
          <w:vertAlign w:val="superscript"/>
        </w:rPr>
        <w:t>99,100</w:t>
      </w:r>
    </w:p>
    <w:p>
      <w:pPr>
        <w:pStyle w:val="aff3"/>
        <w:spacing w:line="259" w:lineRule="auto"/>
      </w:pPr>
      <w:r>
        <w:rPr>
          <w:rFonts w:ascii="KoPubWorld바탕체_Pro Light" w:hAnsi="KoPubWorld바탕체_Pro Light" w:eastAsia="KoPubWorld바탕체_Pro Light" w:cs="KoPubWorld바탕체_Pro Light"/>
          <w:sz w:val="16"/>
        </w:rPr>
        <w:t>다음 날 시장은 한 회사의 실패가 아니었다는 사실을 알게 됐다. 리먼 채권은 머니마켓펀드의 자산이었고, 리먼은 파생계약과 환매조건부 거래의 상대방이었으며, 전 세계 금융회사가 비슷한 담보와 단기 자금에 의존하고 있었다. 누구의 장부에 얼마나 큰 손실이 있는지 알 수 없자 은행은 서로에게 빌려주기를 꺼렸다. 신뢰가 사라진 자리에 현금 수요가 몰렸다.</w:t>
      </w:r>
    </w:p>
    <w:p>
      <w:pPr>
        <w:pStyle w:val="aff3"/>
        <w:spacing w:line="259" w:lineRule="auto"/>
      </w:pPr>
      <w:r>
        <w:rPr>
          <w:rFonts w:ascii="KoPubWorld바탕체_Pro Light" w:hAnsi="KoPubWorld바탕체_Pro Light" w:eastAsia="KoPubWorld바탕체_Pro Light" w:cs="KoPubWorld바탕체_Pro Light"/>
          <w:sz w:val="16"/>
        </w:rPr>
        <w:t>리먼의 파산은 위기의 시작이 아니었다. 주택가격과 대출 기준, 증권화, 등급, 레버리지, 단기조달이 오랫동안 맞물린 결과가 한 주말에 드러난 사건이었다. 규제 실패도 하나의 폐지된 법이나 한 기관의 실수로 줄일 수 없었다. 위험은 감독기관과 상품, 법인의 경계를 지나 조립되어 있었다.</w:t>
      </w:r>
      <w:r>
        <w:rPr>
          <w:rFonts w:ascii="KoPubWorld바탕체_Pro Light" w:hAnsi="KoPubWorld바탕체_Pro Light" w:eastAsia="KoPubWorld바탕체_Pro Light" w:cs="KoPubWorld바탕체_Pro Light"/>
          <w:sz w:val="14"/>
          <w:vertAlign w:val="superscript"/>
        </w:rPr>
        <w:t>98</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대출이 상품이 된 거리</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미국 주택시장에서 대출은 점점 ‘만들어 보유하는’ 자산에서 ‘만들어 판매하는’ 상품으로 바뀌었다. 주택담보대출 모집인은 차주를 찾고, 원대출기관은 대출을 실행한 뒤 투자은행이나 유동화 기구에 팔았다. 여러 대출의 원리금을 묶은 주택저당증권은 다시 여러 위험층으로 나뉘어 세계의 투자자에게 판매됐다.</w:t>
      </w:r>
      <w:r>
        <w:rPr>
          <w:rFonts w:ascii="KoPubWorld바탕체_Pro Light" w:hAnsi="KoPubWorld바탕체_Pro Light" w:eastAsia="KoPubWorld바탕체_Pro Light" w:cs="KoPubWorld바탕체_Pro Light"/>
          <w:sz w:val="14"/>
          <w:vertAlign w:val="superscript"/>
        </w:rPr>
        <w:t>98</w:t>
      </w:r>
    </w:p>
    <w:p>
      <w:pPr>
        <w:pStyle w:val="aff3"/>
        <w:spacing w:line="259" w:lineRule="auto"/>
      </w:pPr>
      <w:r>
        <w:rPr>
          <w:rFonts w:ascii="KoPubWorld바탕체_Pro Light" w:hAnsi="KoPubWorld바탕체_Pro Light" w:eastAsia="KoPubWorld바탕체_Pro Light" w:cs="KoPubWorld바탕체_Pro Light"/>
          <w:sz w:val="16"/>
        </w:rPr>
        <w:t>이 구조에는 실제 장점이 있었다. 지역 은행의 예금에 묶여 있던 주택금융을 전국과 세계의 자본시장에 연결했다. 대출기관은 자금을 회수해 새 대출을 만들 수 있고, 투자자는 원하는 만기와 위험 수준을 선택할 수 있었다. 신용 위험이 특정 은행에 집중되지 않고 넓게 분산된다는 기대도 있었다.</w:t>
      </w:r>
    </w:p>
    <w:p>
      <w:pPr>
        <w:pStyle w:val="aff3"/>
        <w:spacing w:line="259" w:lineRule="auto"/>
      </w:pPr>
      <w:r>
        <w:rPr>
          <w:rFonts w:ascii="KoPubWorld바탕체_Pro Light" w:hAnsi="KoPubWorld바탕체_Pro Light" w:eastAsia="KoPubWorld바탕체_Pro Light" w:cs="KoPubWorld바탕체_Pro Light"/>
          <w:sz w:val="16"/>
        </w:rPr>
        <w:t>그러나 계약의 사슬이 길어질수록 심사의 책임은 흐려졌다. 원대출기관이 대출을 곧 팔 수 있으면 차주가 수년 뒤에도 갚을 수 있는지보다 판매 가능한 서류를 갖췄는지가 중요해질 수 있다. 증권을 조립하는 기관은 공급량을 원했고, 높은 등급의 채권을 원하는 투자자는 평가등급에 의존했다. 각 단계는 수수료를 얻었지만 장기 손실은 사슬 끝으로 이동했다.</w:t>
      </w:r>
    </w:p>
    <w:p>
      <w:pPr>
        <w:pStyle w:val="aff3"/>
        <w:spacing w:line="259" w:lineRule="auto"/>
      </w:pPr>
      <w:r>
        <w:rPr>
          <w:rFonts w:ascii="KoPubWorld바탕체_Pro Light" w:hAnsi="KoPubWorld바탕체_Pro Light" w:eastAsia="KoPubWorld바탕체_Pro Light" w:cs="KoPubWorld바탕체_Pro Light"/>
          <w:sz w:val="16"/>
        </w:rPr>
        <w:t>금융위기조사위원회 다수 보고서는 낮아진 대출 기준, 위험한 주택담보상품, 증권화 과정의 실패가 위기를 만든 중요한 요소라고 판단했다. 감독당국이 대출 관행과 대형 금융회사의 위험을 억제할 권한을 충분히 쓰지 않았다고도 평가했다.</w:t>
      </w:r>
      <w:r>
        <w:rPr>
          <w:rFonts w:ascii="KoPubWorld바탕체_Pro Light" w:hAnsi="KoPubWorld바탕체_Pro Light" w:eastAsia="KoPubWorld바탕체_Pro Light" w:cs="KoPubWorld바탕체_Pro Light"/>
          <w:sz w:val="14"/>
          <w:vertAlign w:val="superscript"/>
        </w:rPr>
        <w:t>98</w:t>
      </w:r>
      <w:r>
        <w:rPr>
          <w:rFonts w:ascii="KoPubWorld바탕체_Pro Light" w:hAnsi="KoPubWorld바탕체_Pro Light" w:eastAsia="KoPubWorld바탕체_Pro Light" w:cs="KoPubWorld바탕체_Pro Light"/>
          <w:sz w:val="16"/>
        </w:rPr>
        <w:t xml:space="preserve"> 이것은 대출을 받은 가계만의 도덕성 문제도, 월가만의 탐욕 문제도 아니었다. 가격 상승이 계속될 것이라는 믿음이 계약과 보상, 규제의 여러 층에 스며들었다.</w:t>
      </w:r>
    </w:p>
    <w:p>
      <w:pPr>
        <w:pStyle w:val="aff3"/>
        <w:spacing w:line="259" w:lineRule="auto"/>
      </w:pPr>
      <w:r>
        <w:rPr>
          <w:rFonts w:ascii="KoPubWorld바탕체_Pro Light" w:hAnsi="KoPubWorld바탕체_Pro Light" w:eastAsia="KoPubWorld바탕체_Pro Light" w:cs="KoPubWorld바탕체_Pro Light"/>
          <w:sz w:val="16"/>
        </w:rPr>
        <w:t>집값이 오르는 동안 낮은 초기 금리나 불충분한 소득 확인의 위험은 가려졌다. 상환이 어려우면 주택을 팔거나 재융자할 수 있었기 때문이다. 가격 상승은 부실을 줄여 모델을 낙관적으로 만들고, 낙관적 모델은 더 많은 대출을 가능하게 해 가격을 떠받쳤다. 원인과 결과가 서로를 강화하는 순환이었다.</w:t>
      </w:r>
    </w:p>
    <w:p>
      <w:pPr>
        <w:pStyle w:val="aff3"/>
        <w:spacing w:line="259" w:lineRule="auto"/>
      </w:pPr>
      <w:r>
        <w:rPr>
          <w:rFonts w:ascii="KoPubWorld바탕체_Pro Light" w:hAnsi="KoPubWorld바탕체_Pro Light" w:eastAsia="KoPubWorld바탕체_Pro Light" w:cs="KoPubWorld바탕체_Pro Light"/>
          <w:sz w:val="16"/>
        </w:rPr>
        <w:t>보상 구조도 시간의 불일치를 키웠다. 대출 모집과 증권 인수의 수수료는 거래가 성사될 때 기록되지만, 부도 손실은 몇 년 뒤 나타난다. 단기 매출을 기준으로 보너스를 받고 이미 다른 회사로 옮길 수 있는 직원에게 장기 대출 품질은 약한 제약이 된다. 손실환수와 장기 이연 보상이 없다면 회사의 위험 한도도 영업 목표 앞에서 밀릴 수 있다.</w:t>
      </w:r>
      <w:r>
        <w:rPr>
          <w:rFonts w:ascii="KoPubWorld바탕체_Pro Light" w:hAnsi="KoPubWorld바탕체_Pro Light" w:eastAsia="KoPubWorld바탕체_Pro Light" w:cs="KoPubWorld바탕체_Pro Light"/>
          <w:sz w:val="14"/>
          <w:vertAlign w:val="superscript"/>
        </w:rPr>
        <w:t>98</w:t>
      </w:r>
    </w:p>
    <w:p>
      <w:pPr>
        <w:pStyle w:val="aff3"/>
        <w:spacing w:line="259" w:lineRule="auto"/>
      </w:pPr>
      <w:r>
        <w:rPr>
          <w:rFonts w:ascii="KoPubWorld바탕체_Pro Light" w:hAnsi="KoPubWorld바탕체_Pro Light" w:eastAsia="KoPubWorld바탕체_Pro Light" w:cs="KoPubWorld바탕체_Pro Light"/>
          <w:sz w:val="16"/>
        </w:rPr>
        <w:t>소비자 보호와 건전성 감독을 분리해서 볼 수 없는 이유도 여기에 있다. 차주가 이해하기 어려운 조건이나 감당하기 힘든 상환 구조는 개인의 피해에서 끝나지 않는다. 비슷한 상품이 대량 판매되면 부도 상관관계가 높아지고, 증권의 등급과 은행의 자본이 동시에 흔들린다. 판매 단계의 공정성이 시스템 안정의 첫 방어선일 수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높은 등급과 짧은 돈</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증권화의 핵심 기술은 손실의 순서를 나누는 것이었다. 후순위층이 먼저 손실을 흡수하면 선순위층은 상당한 손실이 발생하기 전까지 원금을 지킬 수 있다. 다양한 지역의 주택가격과 차주 부도가 충분히 따로 움직인다는 가정 아래 많은 선순위 증권이 높은 신용등급을 받았다.</w:t>
      </w:r>
      <w:r>
        <w:rPr>
          <w:rFonts w:ascii="KoPubWorld바탕체_Pro Light" w:hAnsi="KoPubWorld바탕체_Pro Light" w:eastAsia="KoPubWorld바탕체_Pro Light" w:cs="KoPubWorld바탕체_Pro Light"/>
          <w:sz w:val="14"/>
          <w:vertAlign w:val="superscript"/>
        </w:rPr>
        <w:t>98</w:t>
      </w:r>
    </w:p>
    <w:p>
      <w:pPr>
        <w:pStyle w:val="aff3"/>
        <w:spacing w:line="259" w:lineRule="auto"/>
      </w:pPr>
      <w:r>
        <w:rPr>
          <w:rFonts w:ascii="KoPubWorld바탕체_Pro Light" w:hAnsi="KoPubWorld바탕체_Pro Light" w:eastAsia="KoPubWorld바탕체_Pro Light" w:cs="KoPubWorld바탕체_Pro Light"/>
          <w:sz w:val="16"/>
        </w:rPr>
        <w:t>하지만 기초 대출의 질이 함께 나빠지고 전국 주택가격이 동시에 하락하면 분산 가정은 무너진다. 과거 자료에 드물었던 전국적 하락은 모형에서 작은 확률을 받았고, 복잡한 재증권화는 같은 위험을 여러 겹의 안전한 등급으로 바꾸는 듯 보였다. 등급은 분석을 돕는 표지에서 규제와 투자지침을 통과시키는 열쇠가 되었다.</w:t>
      </w:r>
      <w:r>
        <w:rPr>
          <w:rFonts w:ascii="KoPubWorld바탕체_Pro Light" w:hAnsi="KoPubWorld바탕체_Pro Light" w:eastAsia="KoPubWorld바탕체_Pro Light" w:cs="KoPubWorld바탕체_Pro Light"/>
          <w:sz w:val="14"/>
          <w:vertAlign w:val="superscript"/>
        </w:rPr>
        <w:t>98</w:t>
      </w:r>
    </w:p>
    <w:p>
      <w:pPr>
        <w:pStyle w:val="aff3"/>
        <w:spacing w:line="259" w:lineRule="auto"/>
      </w:pPr>
      <w:r>
        <w:rPr>
          <w:rFonts w:ascii="KoPubWorld바탕체_Pro Light" w:hAnsi="KoPubWorld바탕체_Pro Light" w:eastAsia="KoPubWorld바탕체_Pro Light" w:cs="KoPubWorld바탕체_Pro Light"/>
          <w:sz w:val="16"/>
        </w:rPr>
        <w:t>자산이 장기인 데 비해 자금은 짧았다. 투자은행과 그림자금융 기구는 환매조건부 거래와 기업어음으로 매일 또는 수주마다 자금을 다시 빌렸다. 담보가격이 안정적이고 대출자가 만기를 연장해 주면 낮은 비용으로 큰 자산을 보유할 수 있다. 레버리지는 작은 가격 차이를 높은 자기자본 수익률로 바꿨다.</w:t>
      </w:r>
    </w:p>
    <w:p>
      <w:pPr>
        <w:pStyle w:val="aff3"/>
        <w:spacing w:line="259" w:lineRule="auto"/>
      </w:pPr>
      <w:r>
        <w:rPr>
          <w:rFonts w:ascii="KoPubWorld바탕체_Pro Light" w:hAnsi="KoPubWorld바탕체_Pro Light" w:eastAsia="KoPubWorld바탕체_Pro Light" w:cs="KoPubWorld바탕체_Pro Light"/>
          <w:sz w:val="16"/>
        </w:rPr>
        <w:t>같은 장치는 손실도 확대했다. 담보가치가 조금만 떨어져도 대출자는 추가 담보를 요구하고, 차입자는 자산을 팔아 현금을 마련한다. 매도는 가격을 더 낮춰 다시 담보 요구를 부른다. 예금자는 줄을 서지 않았지만 단기 채권자와 레포 대출자가 만기를 연장하지 않는 방식의 현대적 뱅크런이 발생했다.</w:t>
      </w:r>
    </w:p>
    <w:p>
      <w:pPr>
        <w:pStyle w:val="aff3"/>
        <w:spacing w:line="259" w:lineRule="auto"/>
      </w:pPr>
      <w:r>
        <w:rPr>
          <w:rFonts w:ascii="KoPubWorld바탕체_Pro Light" w:hAnsi="KoPubWorld바탕체_Pro Light" w:eastAsia="KoPubWorld바탕체_Pro Light" w:cs="KoPubWorld바탕체_Pro Light"/>
          <w:sz w:val="16"/>
        </w:rPr>
        <w:t>담보거래는 안전하다는 믿음도 조건부였다. 한 차입자가 실패하면 담보를 팔아 회수할 수 있지만, 여러 차입자가 같은 담보를 동시에 내놓으면 가격이 떨어진다. 개별 계약의 초과담보는 시장 전체의 화재매각을 막지 못한다. 상대방 신용위험을 담보가격 위험으로 바꿨을 뿐이며, 두 위험은 위기 때 다시 합쳐졌다.</w:t>
      </w:r>
    </w:p>
    <w:p>
      <w:pPr>
        <w:pStyle w:val="aff3"/>
        <w:spacing w:line="259" w:lineRule="auto"/>
      </w:pPr>
      <w:r>
        <w:rPr>
          <w:rFonts w:ascii="KoPubWorld바탕체_Pro Light" w:hAnsi="KoPubWorld바탕체_Pro Light" w:eastAsia="KoPubWorld바탕체_Pro Light" w:cs="KoPubWorld바탕체_Pro Light"/>
          <w:sz w:val="16"/>
        </w:rPr>
        <w:t>단기 자금 제공자는 장기 대출을 심사할 능력과 유인이 부족했다. 내일 만기를 연장하지 않으면 된다는 생각 때문에 평상시에는 차입자의 구조를 깊이 보지 않을 수 있다. 불안이 생기면 분석해서 좋은 기관을 고르기보다 모두에게서 빠져나가는 것이 더 안전하다. 단기조달은 시장규율을 빠르게 만들지만 지나치게 빠른 규율은 공황이 된다.</w:t>
      </w:r>
    </w:p>
    <w:p>
      <w:pPr>
        <w:pStyle w:val="aff3"/>
        <w:spacing w:line="259" w:lineRule="auto"/>
      </w:pPr>
      <w:r>
        <w:rPr>
          <w:rFonts w:ascii="KoPubWorld바탕체_Pro Light" w:hAnsi="KoPubWorld바탕체_Pro Light" w:eastAsia="KoPubWorld바탕체_Pro Light" w:cs="KoPubWorld바탕체_Pro Light"/>
          <w:sz w:val="16"/>
        </w:rPr>
        <w:t>이 위험은 전통적인 자본비율만으로 포착하기 어려웠다. 자산을 특수목적기구에 두거나 단기 약정으로 지원하면 평상시 장부가 가벼워 보일 수 있다. 그러나 시장이 닫히면 평판을 지키기 위해 자산을 다시 떠안거나 약정에 따라 유동성을 공급해야 했다. 장부 밖이라는 회계 위치가 경제적 책임의 바깥을 뜻하지 않았다.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베어스턴스라는 첫 경고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2007년 서브프라임 관련 증권의 손실이 커지자 가격을 매기기 어려운 자산이 늘었다. 시장가격이 없으면 모델가격에 의존해야 했고, 상대방은 그 값을 믿지 않았다. 자금을 빌려주는 기관은 더 많은 담보를 요구하거나 아예 만기를 연장하지 않았다. 손실 문제는 유동성 문제로 바뀌었다.</w:t>
      </w:r>
      <w:r>
        <w:rPr>
          <w:rFonts w:ascii="KoPubWorld바탕체_Pro Light" w:hAnsi="KoPubWorld바탕체_Pro Light" w:eastAsia="KoPubWorld바탕체_Pro Light" w:cs="KoPubWorld바탕체_Pro Light"/>
          <w:sz w:val="14"/>
          <w:vertAlign w:val="superscript"/>
        </w:rPr>
        <w:t>98</w:t>
      </w:r>
    </w:p>
    <w:p>
      <w:pPr>
        <w:pStyle w:val="aff3"/>
        <w:spacing w:line="259" w:lineRule="auto"/>
      </w:pPr>
      <w:r>
        <w:rPr>
          <w:rFonts w:ascii="KoPubWorld바탕체_Pro Light" w:hAnsi="KoPubWorld바탕체_Pro Light" w:eastAsia="KoPubWorld바탕체_Pro Light" w:cs="KoPubWorld바탕체_Pro Light"/>
          <w:sz w:val="16"/>
        </w:rPr>
        <w:t>2008년 3월 투자은행 베어스턴스는 단기 자금이 빠져나가며 붕괴 직전에 놓였다. 연준은 비상대출 권한을 이용해 유동성을 공급하고, JP모건체이스의 인수가 이뤄지도록 특정 자산을 담는 기구에 자금을 지원했다.</w:t>
      </w:r>
      <w:r>
        <w:rPr>
          <w:rFonts w:ascii="KoPubWorld바탕체_Pro Light" w:hAnsi="KoPubWorld바탕체_Pro Light" w:eastAsia="KoPubWorld바탕체_Pro Light" w:cs="KoPubWorld바탕체_Pro Light"/>
          <w:sz w:val="14"/>
          <w:vertAlign w:val="superscript"/>
        </w:rPr>
        <w:t>100</w:t>
      </w:r>
      <w:r>
        <w:rPr>
          <w:rFonts w:ascii="KoPubWorld바탕체_Pro Light" w:hAnsi="KoPubWorld바탕체_Pro Light" w:eastAsia="KoPubWorld바탕체_Pro Light" w:cs="KoPubWorld바탕체_Pro Light"/>
          <w:sz w:val="16"/>
        </w:rPr>
        <w:t xml:space="preserve"> 당국은 갑작스러운 파산이 파생상품과 자금시장을 흔들 수 있다고 보았다.</w:t>
      </w:r>
    </w:p>
    <w:p>
      <w:pPr>
        <w:pStyle w:val="aff3"/>
        <w:spacing w:line="259" w:lineRule="auto"/>
      </w:pPr>
      <w:r>
        <w:rPr>
          <w:rFonts w:ascii="KoPubWorld바탕체_Pro Light" w:hAnsi="KoPubWorld바탕체_Pro Light" w:eastAsia="KoPubWorld바탕체_Pro Light" w:cs="KoPubWorld바탕체_Pro Light"/>
          <w:sz w:val="16"/>
        </w:rPr>
        <w:t>구제는 시간을 벌었지만 기준을 흐렸다. 시장 참가자는 비슷하게 연결된 대형 투자은행도 지원받을 것이라 기대할 수 있었다. 반대로 당국은 모든 실패를 막아줄 수 없다는 신호를 주고 싶었다. 주주와 경영진에게 책임을 묻는 시장규율과 결제·신용망을 지키는 금융안정이 충돌했다.</w:t>
      </w:r>
      <w:r>
        <w:rPr>
          <w:rFonts w:ascii="KoPubWorld바탕체_Pro Light" w:hAnsi="KoPubWorld바탕체_Pro Light" w:eastAsia="KoPubWorld바탕체_Pro Light" w:cs="KoPubWorld바탕체_Pro Light"/>
          <w:sz w:val="14"/>
          <w:vertAlign w:val="superscript"/>
        </w:rPr>
        <w:t>100</w:t>
      </w:r>
    </w:p>
    <w:p>
      <w:pPr>
        <w:pStyle w:val="aff3"/>
        <w:spacing w:line="259" w:lineRule="auto"/>
      </w:pPr>
      <w:r>
        <w:rPr>
          <w:rFonts w:ascii="KoPubWorld바탕체_Pro Light" w:hAnsi="KoPubWorld바탕체_Pro Light" w:eastAsia="KoPubWorld바탕체_Pro Light" w:cs="KoPubWorld바탕체_Pro Light"/>
          <w:sz w:val="16"/>
        </w:rPr>
        <w:t>베어 이후 몇 달 동안 금융기관은 자본을 조달하고 자산을 줄였지만 주택 관련 손실의 규모는 계속 커졌다. 서로의 장부를 믿지 못하면 개별 기관이 현금을 쌓는 행동이 시스템 전체의 유동성을 줄인다. 예방적 저축이 집단적 경색이 되는 순간이었다.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리먼을 둘러싼 경계선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리먼의 운명을 놓고 지금도 논쟁이 이어진다. 하나의 해석은 정부가 구제 기대를 끊기 위해 파산을 허용했고 그 결과를 과소평가했다는 것이다. 다른 해석은 연준이 충분한 담보 없이 지급불능 회사를 구제할 법적 권한이 없었고, 손실을 떠안을 구매자도 없었다는 것이다. 정책 선택과 법적·재무적 제약을 구분해야 한다.</w:t>
      </w:r>
      <w:r>
        <w:rPr>
          <w:rFonts w:ascii="KoPubWorld바탕체_Pro Light" w:hAnsi="KoPubWorld바탕체_Pro Light" w:eastAsia="KoPubWorld바탕체_Pro Light" w:cs="KoPubWorld바탕체_Pro Light"/>
          <w:sz w:val="14"/>
          <w:vertAlign w:val="superscript"/>
        </w:rPr>
        <w:t>100</w:t>
      </w:r>
    </w:p>
    <w:p>
      <w:pPr>
        <w:pStyle w:val="aff3"/>
        <w:spacing w:line="259" w:lineRule="auto"/>
      </w:pPr>
      <w:r>
        <w:rPr>
          <w:rFonts w:ascii="KoPubWorld바탕체_Pro Light" w:hAnsi="KoPubWorld바탕체_Pro Light" w:eastAsia="KoPubWorld바탕체_Pro Light" w:cs="KoPubWorld바탕체_Pro Light"/>
          <w:sz w:val="16"/>
        </w:rPr>
        <w:t>어느 해석을 택하든 준비된 정리 절차가 없었다는 점은 분명하다. 대형 투자은행을 주말 사이에 질서 있게 정리하면서 핵심 기능을 계속하고 손실은 주주와 채권자에게 배분할 제도가 없었다. 일반 파산법은 금융계약의 빠른 해지와 담보 처분, 국제 법인의 복잡성을 다루며 시스템 충격을 줄이도록 설계된 장치가 아니었다.</w:t>
      </w:r>
      <w:r>
        <w:rPr>
          <w:rFonts w:ascii="KoPubWorld바탕체_Pro Light" w:hAnsi="KoPubWorld바탕체_Pro Light" w:eastAsia="KoPubWorld바탕체_Pro Light" w:cs="KoPubWorld바탕체_Pro Light"/>
          <w:sz w:val="14"/>
          <w:vertAlign w:val="superscript"/>
        </w:rPr>
        <w:t>100,98</w:t>
      </w:r>
    </w:p>
    <w:p>
      <w:pPr>
        <w:pStyle w:val="aff3"/>
        <w:spacing w:line="259" w:lineRule="auto"/>
      </w:pPr>
      <w:r>
        <w:rPr>
          <w:rFonts w:ascii="KoPubWorld바탕체_Pro Light" w:hAnsi="KoPubWorld바탕체_Pro Light" w:eastAsia="KoPubWorld바탕체_Pro Light" w:cs="KoPubWorld바탕체_Pro Light"/>
          <w:sz w:val="16"/>
        </w:rPr>
        <w:t>리먼 파산 뒤 시장은 정책당국이 어느 기관을 지원할지 예측할 수 없게 됐다. 불확실성은 약한 회사에만 붙지 않았다. 안전해 보이는 거래 상대방도 내일 어떤 익스포저가 드러날지 알 수 없었다. 신용은 상대방의 자산가치뿐 아니라 정부의 대응 규칙에 대한 믿음 위에서도 움직였다.</w:t>
      </w:r>
    </w:p>
    <w:p>
      <w:pPr>
        <w:pStyle w:val="aff3"/>
        <w:spacing w:line="259" w:lineRule="auto"/>
      </w:pPr>
      <w:r>
        <w:rPr>
          <w:rFonts w:ascii="KoPubWorld바탕체_Pro Light" w:hAnsi="KoPubWorld바탕체_Pro Light" w:eastAsia="KoPubWorld바탕체_Pro Light" w:cs="KoPubWorld바탕체_Pro Light"/>
          <w:sz w:val="16"/>
        </w:rPr>
        <w:t>국제적 연결은 충격을 더 멀리 보냈다. 미국 증권을 보유한 해외 은행은 달러를 단기로 조달했고, 위기가 오자 달러 만기 연장과 환헤지가 동시에 어려워졌다. 자국 통화의 중앙은행은 국내 통화를 공급할 수 있지만 달러는 만들 수 없었다. 위기는 미국 자산의 손실인 동시에 세계적 달러 유동성 부족이었다.</w:t>
      </w:r>
      <w:r>
        <w:rPr>
          <w:rFonts w:ascii="KoPubWorld바탕체_Pro Light" w:hAnsi="KoPubWorld바탕체_Pro Light" w:eastAsia="KoPubWorld바탕체_Pro Light" w:cs="KoPubWorld바탕체_Pro Light"/>
          <w:sz w:val="14"/>
          <w:vertAlign w:val="superscript"/>
        </w:rPr>
        <w:t>99</w:t>
      </w:r>
    </w:p>
    <w:p>
      <w:pPr>
        <w:pStyle w:val="aff3"/>
        <w:spacing w:line="259" w:lineRule="auto"/>
      </w:pPr>
      <w:r>
        <w:rPr>
          <w:rFonts w:ascii="KoPubWorld바탕체_Pro Light" w:hAnsi="KoPubWorld바탕체_Pro Light" w:eastAsia="KoPubWorld바탕체_Pro Light" w:cs="KoPubWorld바탕체_Pro Light"/>
          <w:sz w:val="16"/>
        </w:rPr>
        <w:t>각국 정부가 자국 기관을 먼저 보호하면 그룹 내부의 자금이 국경에 갇힐 수 있었다. 평상시에는 한 회사처럼 운영되던 은행이 위기에는 여러 법인과 여러 안전망으로 갈라졌다. 국제 그룹의 통합 감독이 손실부담과 유동성 지원에 대한 공동 정리계획 없이는 불완전하다는 사실이 드러났다.</w:t>
      </w:r>
      <w:r>
        <w:rPr>
          <w:rFonts w:ascii="KoPubWorld바탕체_Pro Light" w:hAnsi="KoPubWorld바탕체_Pro Light" w:eastAsia="KoPubWorld바탕체_Pro Light" w:cs="KoPubWorld바탕체_Pro Light"/>
          <w:sz w:val="14"/>
          <w:vertAlign w:val="superscript"/>
        </w:rPr>
        <w:t>99</w:t>
      </w:r>
    </w:p>
    <w:p>
      <w:pPr>
        <w:pStyle w:val="aff3"/>
        <w:spacing w:line="259" w:lineRule="auto"/>
      </w:pPr>
      <w:r>
        <w:rPr>
          <w:rFonts w:ascii="KoPubWorld바탕체_Pro Light" w:hAnsi="KoPubWorld바탕체_Pro Light" w:eastAsia="KoPubWorld바탕체_Pro Light" w:cs="KoPubWorld바탕체_Pro Light"/>
          <w:sz w:val="16"/>
        </w:rPr>
        <w:t>파산을 허용하지 않았다면 위기가 없었을 것이라는 주장도 지나치다. 주택 손실과 과도한 레버리지, 단기 자금의 취약성은 이미 시스템에 퍼져 있었다. 하지만 리먼은 느린 손실 인식을 빠른 현금 공황으로 바꾼 촉매였다. 위기의 규모는 축적된 연료와 점화 순간을 함께 봐야 설명된다.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AIG와 머니마켓의 연쇄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리먼 다음 날인 2008년 9월 16일, 연준은 보험그룹 AIG에 최대 850억 달러의 대출을 제공하기로 했다. 정부는 79.9퍼센트의 지분을 확보할 권리를 받았다.</w:t>
      </w:r>
      <w:r>
        <w:rPr>
          <w:rFonts w:ascii="KoPubWorld바탕체_Pro Light" w:hAnsi="KoPubWorld바탕체_Pro Light" w:eastAsia="KoPubWorld바탕체_Pro Light" w:cs="KoPubWorld바탕체_Pro Light"/>
          <w:sz w:val="14"/>
          <w:vertAlign w:val="superscript"/>
        </w:rPr>
        <w:t>101</w:t>
      </w:r>
      <w:r>
        <w:rPr>
          <w:rFonts w:ascii="KoPubWorld바탕체_Pro Light" w:hAnsi="KoPubWorld바탕체_Pro Light" w:eastAsia="KoPubWorld바탕체_Pro Light" w:cs="KoPubWorld바탕체_Pro Light"/>
          <w:sz w:val="16"/>
        </w:rPr>
        <w:t xml:space="preserve"> 보험회사의 전통적 보험금만이 문제가 아니었다. AIG의 금융상품 부문은 주택 관련 증권 등을 참조하는 신용부도스왑을 대규모로 제공했고, 등급 하락과 담보 요구가 유동성을 압박했다.</w:t>
      </w:r>
      <w:r>
        <w:rPr>
          <w:rFonts w:ascii="KoPubWorld바탕체_Pro Light" w:hAnsi="KoPubWorld바탕체_Pro Light" w:eastAsia="KoPubWorld바탕체_Pro Light" w:cs="KoPubWorld바탕체_Pro Light"/>
          <w:sz w:val="14"/>
          <w:vertAlign w:val="superscript"/>
        </w:rPr>
        <w:t>98</w:t>
      </w:r>
    </w:p>
    <w:p>
      <w:pPr>
        <w:pStyle w:val="aff3"/>
        <w:spacing w:line="259" w:lineRule="auto"/>
      </w:pPr>
      <w:r>
        <w:rPr>
          <w:rFonts w:ascii="KoPubWorld바탕체_Pro Light" w:hAnsi="KoPubWorld바탕체_Pro Light" w:eastAsia="KoPubWorld바탕체_Pro Light" w:cs="KoPubWorld바탕체_Pro Light"/>
          <w:sz w:val="16"/>
        </w:rPr>
        <w:t>리먼과 AIG의 다른 처리는 ‘너무 연결되어 실패할 수 없는’ 문제를 선명하게 했다. 한 기관의 법적 업종이나 크기만으로 시스템 중요성을 판단할 수 없었다. 파생계약의 상대방, 담보 요구, 단기 자금의 의존도, 다른 기관이 대체할 수 있는 기능을 함께 봐야 했다.</w:t>
      </w:r>
      <w:r>
        <w:rPr>
          <w:rFonts w:ascii="KoPubWorld바탕체_Pro Light" w:hAnsi="KoPubWorld바탕체_Pro Light" w:eastAsia="KoPubWorld바탕체_Pro Light" w:cs="KoPubWorld바탕체_Pro Light"/>
          <w:sz w:val="14"/>
          <w:vertAlign w:val="superscript"/>
        </w:rPr>
        <w:t>101,100</w:t>
      </w:r>
    </w:p>
    <w:p>
      <w:pPr>
        <w:pStyle w:val="aff3"/>
        <w:spacing w:line="259" w:lineRule="auto"/>
      </w:pPr>
      <w:r>
        <w:rPr>
          <w:rFonts w:ascii="KoPubWorld바탕체_Pro Light" w:hAnsi="KoPubWorld바탕체_Pro Light" w:eastAsia="KoPubWorld바탕체_Pro Light" w:cs="KoPubWorld바탕체_Pro Light"/>
          <w:sz w:val="16"/>
        </w:rPr>
        <w:t>같은 날 리저브 프라이머리 펀드는 순자산가치 1달러를 지키지 못했다. 약 620억 달러 규모의 이 머니마켓펀드는 7억8500만 달러의 리먼 채권을 보유하고 있었다. 이틀 동안 약 400억 달러의 환매 요구가 몰렸고, 그 주 프라임 머니마켓펀드에서는 약 3000억 달러가 빠져나갔다.</w:t>
      </w:r>
      <w:r>
        <w:rPr>
          <w:rFonts w:ascii="KoPubWorld바탕체_Pro Light" w:hAnsi="KoPubWorld바탕체_Pro Light" w:eastAsia="KoPubWorld바탕체_Pro Light" w:cs="KoPubWorld바탕체_Pro Light"/>
          <w:sz w:val="14"/>
          <w:vertAlign w:val="superscript"/>
        </w:rPr>
        <w:t>102</w:t>
      </w:r>
    </w:p>
    <w:p>
      <w:pPr>
        <w:pStyle w:val="aff3"/>
        <w:spacing w:line="259" w:lineRule="auto"/>
      </w:pPr>
      <w:r>
        <w:rPr>
          <w:rFonts w:ascii="KoPubWorld바탕체_Pro Light" w:hAnsi="KoPubWorld바탕체_Pro Light" w:eastAsia="KoPubWorld바탕체_Pro Light" w:cs="KoPubWorld바탕체_Pro Light"/>
          <w:sz w:val="16"/>
        </w:rPr>
        <w:t>머니마켓펀드는 은행예금이 아니지만 투자자는 현금처럼 사용했다. 1달러 가치가 깨지자 기업어음 시장의 주요 자금 공급자가 현금을 쌓기 시작했다. 기업은 급여와 재고를 위해 쓰던 단기 자금을 구하기 어려워졌다. 주택증권의 손실이 펀드 환매를 거쳐 비금융기업의 운영자금으로 번졌다.</w:t>
      </w:r>
      <w:r>
        <w:rPr>
          <w:rFonts w:ascii="KoPubWorld바탕체_Pro Light" w:hAnsi="KoPubWorld바탕체_Pro Light" w:eastAsia="KoPubWorld바탕체_Pro Light" w:cs="KoPubWorld바탕체_Pro Light"/>
          <w:sz w:val="14"/>
          <w:vertAlign w:val="superscript"/>
        </w:rPr>
        <w:t>102</w:t>
      </w:r>
    </w:p>
    <w:p>
      <w:pPr>
        <w:pStyle w:val="aff3"/>
        <w:spacing w:line="259" w:lineRule="auto"/>
      </w:pPr>
      <w:r>
        <w:rPr>
          <w:rFonts w:ascii="KoPubWorld바탕체_Pro Light" w:hAnsi="KoPubWorld바탕체_Pro Light" w:eastAsia="KoPubWorld바탕체_Pro Light" w:cs="KoPubWorld바탕체_Pro Light"/>
          <w:sz w:val="16"/>
        </w:rPr>
        <w:t>정부와 중앙은행은 보증과 유동성 시설을 잇달아 내놓았다. 이 조치는 공황을 막는 데 필요했지만, 예금보험 밖에 있던 현금성 상품에도 위기 때 안전망이 확장될 수 있다는 기대를 남겼다. 규제 밖에서 은행 같은 약속을 만들면 평상시 비용은 낮아도 위기 때 공적 보호를 요구할 가능성이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피할 수 있었던 위기였는가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미국 금융위기조사위원회 다수는 위기를 피할 수 있었다고 결론 내렸다. 금융 규제와 감독의 광범위한 실패, 기업지배구조와 위험관리의 붕괴, 과도한 차입과 위험한 투자, 정책당국의 준비 부족을 주요 원인으로 제시했다.</w:t>
      </w:r>
      <w:r>
        <w:rPr>
          <w:rFonts w:ascii="KoPubWorld바탕체_Pro Light" w:hAnsi="KoPubWorld바탕체_Pro Light" w:eastAsia="KoPubWorld바탕체_Pro Light" w:cs="KoPubWorld바탕체_Pro Light"/>
          <w:sz w:val="14"/>
          <w:vertAlign w:val="superscript"/>
        </w:rPr>
        <w:t>98</w:t>
      </w:r>
      <w:r>
        <w:rPr>
          <w:rFonts w:ascii="KoPubWorld바탕체_Pro Light" w:hAnsi="KoPubWorld바탕체_Pro Light" w:eastAsia="KoPubWorld바탕체_Pro Light" w:cs="KoPubWorld바탕체_Pro Light"/>
          <w:sz w:val="16"/>
        </w:rPr>
        <w:t xml:space="preserve"> 이 시각에서 위기는 예측 불가능한 자연재해가 아니라 경고를 무시한 제도적 실패였다.</w:t>
      </w:r>
    </w:p>
    <w:p>
      <w:pPr>
        <w:pStyle w:val="aff3"/>
        <w:spacing w:line="259" w:lineRule="auto"/>
      </w:pPr>
      <w:r>
        <w:rPr>
          <w:rFonts w:ascii="KoPubWorld바탕체_Pro Light" w:hAnsi="KoPubWorld바탕체_Pro Light" w:eastAsia="KoPubWorld바탕체_Pro Light" w:cs="KoPubWorld바탕체_Pro Light"/>
          <w:sz w:val="16"/>
        </w:rPr>
        <w:t>위원회 보고서 안의 반대의견들은 강조점을 달리했다. 세계적 저축과 자본 흐름, 장기간의 주택 붐, 광범위한 신용버블을 더 크게 보거나, 정부의 주택정책과 통화환경을 중요한 원인으로 들었다.</w:t>
      </w:r>
      <w:r>
        <w:rPr>
          <w:rFonts w:ascii="KoPubWorld바탕체_Pro Light" w:hAnsi="KoPubWorld바탕체_Pro Light" w:eastAsia="KoPubWorld바탕체_Pro Light" w:cs="KoPubWorld바탕체_Pro Light"/>
          <w:sz w:val="14"/>
          <w:vertAlign w:val="superscript"/>
        </w:rPr>
        <w:t>98</w:t>
      </w:r>
      <w:r>
        <w:rPr>
          <w:rFonts w:ascii="KoPubWorld바탕체_Pro Light" w:hAnsi="KoPubWorld바탕체_Pro Light" w:eastAsia="KoPubWorld바탕체_Pro Light" w:cs="KoPubWorld바탕체_Pro Light"/>
          <w:sz w:val="16"/>
        </w:rPr>
        <w:t xml:space="preserve"> 다수 의견은 규제 실패를, 반대 의견은 거시경제와 주택시장 왜곡을 상대적으로 더 강조했다.</w:t>
      </w:r>
    </w:p>
    <w:p>
      <w:pPr>
        <w:pStyle w:val="aff3"/>
        <w:spacing w:line="259" w:lineRule="auto"/>
      </w:pPr>
      <w:r>
        <w:rPr>
          <w:rFonts w:ascii="KoPubWorld바탕체_Pro Light" w:hAnsi="KoPubWorld바탕체_Pro Light" w:eastAsia="KoPubWorld바탕체_Pro Light" w:cs="KoPubWorld바탕체_Pro Light"/>
          <w:sz w:val="16"/>
        </w:rPr>
        <w:t>둘을 반드시 양자택일할 필요는 없다. 풍부한 세계 유동성과 낮은 금리는 위험을 찾는 환경을 만들 수 있다. 그러나 같은 환경에서 어떤 대출을 만들고 얼마나 레버리지를 쓰며 손실을 누가 부담하게 할지는 제도와 경영의 선택이다. 거시 조건은 연료를 제공하고 규제·시장 구조는 연료가 어디에 쌓일지 정한다.</w:t>
      </w:r>
    </w:p>
    <w:p>
      <w:pPr>
        <w:pStyle w:val="aff3"/>
        <w:spacing w:line="259" w:lineRule="auto"/>
      </w:pPr>
      <w:r>
        <w:rPr>
          <w:rFonts w:ascii="KoPubWorld바탕체_Pro Light" w:hAnsi="KoPubWorld바탕체_Pro Light" w:eastAsia="KoPubWorld바탕체_Pro Light" w:cs="KoPubWorld바탕체_Pro Light"/>
          <w:sz w:val="16"/>
        </w:rPr>
        <w:t>예측 실패도 두 종류로 나눌 필요가 있다. 주택가격이 전국적으로 얼마나 떨어질지 정확히 맞히지 못한 것은 불확실성의 문제다. 그런 하락이 없다고 가정한 채 높은 레버리지와 하루짜리 자금에 의존하고, 실패 절차도 준비하지 않은 것은 회복탄력성의 문제다. 규제는 모든 충격을 맞힐 수 없지만 틀렸을 때 살아남을 여유를 요구할 수 있다.</w:t>
      </w:r>
    </w:p>
    <w:p>
      <w:pPr>
        <w:pStyle w:val="aff3"/>
        <w:spacing w:line="259" w:lineRule="auto"/>
      </w:pPr>
      <w:r>
        <w:rPr>
          <w:rFonts w:ascii="KoPubWorld바탕체_Pro Light" w:hAnsi="KoPubWorld바탕체_Pro Light" w:eastAsia="KoPubWorld바탕체_Pro Light" w:cs="KoPubWorld바탕체_Pro Light"/>
          <w:sz w:val="16"/>
        </w:rPr>
        <w:t>2008년 11월 주요 20개국 정상들은 워싱턴에서 금융시장의 취약한 인수 기준, 불건전한 위험관리, 복잡하고 불투명한 상품, 과도한 레버리지를 지적하고 국제 공조를 약속했다.</w:t>
      </w:r>
      <w:r>
        <w:rPr>
          <w:rFonts w:ascii="KoPubWorld바탕체_Pro Light" w:hAnsi="KoPubWorld바탕체_Pro Light" w:eastAsia="KoPubWorld바탕체_Pro Light" w:cs="KoPubWorld바탕체_Pro Light"/>
          <w:sz w:val="14"/>
          <w:vertAlign w:val="superscript"/>
        </w:rPr>
        <w:t>103</w:t>
      </w:r>
      <w:r>
        <w:rPr>
          <w:rFonts w:ascii="KoPubWorld바탕체_Pro Light" w:hAnsi="KoPubWorld바탕체_Pro Light" w:eastAsia="KoPubWorld바탕체_Pro Light" w:cs="KoPubWorld바탕체_Pro Light"/>
          <w:sz w:val="16"/>
        </w:rPr>
        <w:t xml:space="preserve"> 아시아 위기 뒤 만들어진 G20이 세계 금융개혁의 핵심 무대로 올라선 순간이었다.</w:t>
      </w:r>
    </w:p>
    <w:p>
      <w:pPr>
        <w:pStyle w:val="aff3"/>
        <w:spacing w:line="259" w:lineRule="auto"/>
      </w:pPr>
      <w:r>
        <w:rPr>
          <w:rFonts w:ascii="KoPubWorld바탕체_Pro Light" w:hAnsi="KoPubWorld바탕체_Pro Light" w:eastAsia="KoPubWorld바탕체_Pro Light" w:cs="KoPubWorld바탕체_Pro Light"/>
          <w:sz w:val="16"/>
        </w:rPr>
        <w:t>리먼이 남긴 가장 큰 교훈은 대형기관을 무조건 구제하라는 것이 아니다. 실패시킬 수 있는 절차가 없으면 당국은 공황과 구제 사이에서 선택하게 된다는 것이다. 평상시 자본과 유동성을 높이는 규제, 위기 때 핵심 기능을 이어가며 주주와 채권자에게 손실을 지우는 정리제도, 장부 밖 연결을 보는 정보가 함께 필요했다.</w:t>
      </w:r>
    </w:p>
    <w:p>
      <w:pPr>
        <w:pStyle w:val="aff3"/>
        <w:spacing w:line="259" w:lineRule="auto"/>
      </w:pPr>
      <w:r>
        <w:rPr>
          <w:rFonts w:ascii="KoPubWorld바탕체_Pro Light" w:hAnsi="KoPubWorld바탕체_Pro Light" w:eastAsia="KoPubWorld바탕체_Pro Light" w:cs="KoPubWorld바탕체_Pro Light"/>
          <w:sz w:val="16"/>
        </w:rPr>
        <w:t>그런 장치는 주말에 즉석에서 만들 수 없다. 다음 장의 정치는 바로 이 딜레마에서 출발한다. 무너지는 시스템을 먼저 구해야 했지만, 구제는 또 다른 위험선호를 부를 수 있었다. 위기를 멈춘 손으로 구제가 필요 없는 법을 써야 했다.</w:t>
      </w:r>
      <w:r>
        <w:rPr>
          <w:rFonts w:ascii="KoPubWorld바탕체_Pro Light" w:hAnsi="KoPubWorld바탕체_Pro Light" w:eastAsia="KoPubWorld바탕체_Pro Light" w:cs="KoPubWorld바탕체_Pro Light"/>
          <w:sz w:val="14"/>
          <w:vertAlign w:val="superscript"/>
        </w:rPr>
        <w:t>98</w:t>
      </w:r>
    </w:p>
    <w:p>
      <w:pPr>
        <w:pStyle w:val="aff2"/>
        <w:pageBreakBefore/>
        <w:spacing w:before="440"/>
        <w:jc w:val="center"/>
      </w:pPr>
      <w:r>
        <w:rPr>
          <w:rFonts w:ascii="KoPubWorld바탕체_Pro Bold" w:hAnsi="KoPubWorld바탕체_Pro Bold" w:eastAsia="KoPubWorld바탕체_Pro Bold" w:cs="KoPubWorld바탕체_Pro Bold"/>
          <w:b/>
          <w:sz w:val="24"/>
        </w:rPr>
        <w:t>Chapter. 20</w:t>
      </w:r>
    </w:p>
    <w:p>
      <w:pPr>
        <w:pStyle w:val="aff1"/>
        <w:jc w:val="center"/>
      </w:pPr>
      <w:r>
        <w:rPr>
          <w:rFonts w:ascii="KoPubWorld바탕체_Pro Bold" w:hAnsi="KoPubWorld바탕체_Pro Bold" w:eastAsia="KoPubWorld바탕체_Pro Bold" w:cs="KoPubWorld바탕체_Pro Bold"/>
          <w:b/>
          <w:sz w:val="28"/>
        </w:rPr>
        <w:t>구제의 정치와 개혁의 법전</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2008년 10월 3일, 미국 의회가 다시 표결을 준비하는 동안 금융시장은 하루짜리 뉴스가 아니라 생존 시간을 세고 있었다. 은행은 서로에게 빌려주기를 꺼렸고, 기업은 단기 자금을 구하기 어려웠다. 불과 며칠 전 하원에서 구제 법안이 부결되자 정책당국은 시장을 안정시키면서도 납세자에게 월가의 손실을 떠넘긴다는 분노에 답해야 했다. 그날 성립한 긴급경제안정법은 최대 7000억 달러의 부실자산구제프로그램, TARP를 승인하고 예금보험 한도를 한시적으로 25만 달러로 높였다.</w:t>
      </w:r>
      <w:r>
        <w:rPr>
          <w:rFonts w:ascii="KoPubWorld바탕체_Pro Light" w:hAnsi="KoPubWorld바탕체_Pro Light" w:eastAsia="KoPubWorld바탕체_Pro Light" w:cs="KoPubWorld바탕체_Pro Light"/>
          <w:sz w:val="14"/>
          <w:vertAlign w:val="superscript"/>
        </w:rPr>
        <w:t>104</w:t>
      </w:r>
    </w:p>
    <w:p>
      <w:pPr>
        <w:pStyle w:val="aff3"/>
        <w:spacing w:line="259" w:lineRule="auto"/>
      </w:pPr>
      <w:r>
        <w:rPr>
          <w:rFonts w:ascii="KoPubWorld바탕체_Pro Light" w:hAnsi="KoPubWorld바탕체_Pro Light" w:eastAsia="KoPubWorld바탕체_Pro Light" w:cs="KoPubWorld바탕체_Pro Light"/>
          <w:sz w:val="16"/>
        </w:rPr>
        <w:t>법의 이름에는 ‘부실자산’이 들어갔지만, 위기 대응은 곧 자산 매입보다 은행 자본 투입으로 방향을 틀었다. 시장가격이 없는 복잡한 증권을 정부가 얼마에 사야 하는지 정하기 어려웠고, 너무 낮게 사면 은행이 손실을 확정해 자본이 줄며, 너무 높게 사면 납세자가 과도한 위험을 떠안았다. 자본을 직접 넣으면 같은 돈으로 대출 여력을 더 빠르게 보강할 수 있다는 판단이었다.</w:t>
      </w:r>
      <w:r>
        <w:rPr>
          <w:rFonts w:ascii="KoPubWorld바탕체_Pro Light" w:hAnsi="KoPubWorld바탕체_Pro Light" w:eastAsia="KoPubWorld바탕체_Pro Light" w:cs="KoPubWorld바탕체_Pro Light"/>
          <w:sz w:val="14"/>
          <w:vertAlign w:val="superscript"/>
        </w:rPr>
        <w:t>104,105</w:t>
      </w:r>
    </w:p>
    <w:p>
      <w:pPr>
        <w:pStyle w:val="aff3"/>
        <w:spacing w:line="259" w:lineRule="auto"/>
      </w:pPr>
      <w:r>
        <w:rPr>
          <w:rFonts w:ascii="KoPubWorld바탕체_Pro Light" w:hAnsi="KoPubWorld바탕체_Pro Light" w:eastAsia="KoPubWorld바탕체_Pro Light" w:cs="KoPubWorld바탕체_Pro Light"/>
          <w:sz w:val="16"/>
        </w:rPr>
        <w:t>구제라는 단어는 하나의 수표를 떠올리게 하지만 실제로는 자본, 보증, 유동성, 자산매입이 겹친 체계였다. 각 수단은 다른 고장을 겨냥했다. 지급능력이 약한 은행에는 자본이, 단기 자금시장이 멈춘 곳에는 중앙은행 유동성이, 채권자가 만기 연장을 거부하는 곳에는 정부 보증이 필요했다. 처방을 구분하지 않으면 유동성 대출로 지급불능을 숨기거나, 일시적 공황을 자본 부족으로 오진할 수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 장의 수표가 아니었던 구제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미 재무부는 2008년 10월 14일 자본매입프로그램을 발표해 최대 2500억 달러 한도에서 적격 금융기관의 우선주를 매입하기로 했다. 첫 단계에는 대형 은행들이 함께 참여했다.</w:t>
      </w:r>
      <w:r>
        <w:rPr>
          <w:rFonts w:ascii="KoPubWorld바탕체_Pro Light" w:hAnsi="KoPubWorld바탕체_Pro Light" w:eastAsia="KoPubWorld바탕체_Pro Light" w:cs="KoPubWorld바탕체_Pro Light"/>
          <w:sz w:val="14"/>
          <w:vertAlign w:val="superscript"/>
        </w:rPr>
        <w:t>105</w:t>
      </w:r>
      <w:r>
        <w:rPr>
          <w:rFonts w:ascii="KoPubWorld바탕체_Pro Light" w:hAnsi="KoPubWorld바탕체_Pro Light" w:eastAsia="KoPubWorld바탕체_Pro Light" w:cs="KoPubWorld바탕체_Pro Light"/>
          <w:sz w:val="16"/>
        </w:rPr>
        <w:t xml:space="preserve"> 상대적으로 건전한 기관까지 동시에 자본을 받게 함으로써 참여가 약점의 신호가 되는 것을 줄이고 시스템 전체의 완충력을 높이려 했다.</w:t>
      </w:r>
    </w:p>
    <w:p>
      <w:pPr>
        <w:pStyle w:val="aff3"/>
        <w:spacing w:line="259" w:lineRule="auto"/>
      </w:pPr>
      <w:r>
        <w:rPr>
          <w:rFonts w:ascii="KoPubWorld바탕체_Pro Light" w:hAnsi="KoPubWorld바탕체_Pro Light" w:eastAsia="KoPubWorld바탕체_Pro Light" w:cs="KoPubWorld바탕체_Pro Light"/>
          <w:sz w:val="16"/>
        </w:rPr>
        <w:t>우선주 투입은 즉각적인 국유화와는 달랐다. 정부는 배당과 주식매입권을 통해 보상을 받을 수 있었고, 은행 경영은 민간에 남았다. 그러나 자금 사용과 임원 보상, 대출 확대를 둘러싼 갈등이 생겼다. 납세자는 은행을 살렸으니 신용 공급을 원했고, 은행은 불확실한 손실에 대비해 자본을 지키려 했다. 같은 돈이 안정 목적과 경기부양 목적을 동시에 만족시키기는 어려웠다.</w:t>
      </w:r>
    </w:p>
    <w:p>
      <w:pPr>
        <w:pStyle w:val="aff3"/>
        <w:spacing w:line="259" w:lineRule="auto"/>
      </w:pPr>
      <w:r>
        <w:rPr>
          <w:rFonts w:ascii="KoPubWorld바탕체_Pro Light" w:hAnsi="KoPubWorld바탕체_Pro Light" w:eastAsia="KoPubWorld바탕체_Pro Light" w:cs="KoPubWorld바탕체_Pro Light"/>
          <w:sz w:val="16"/>
        </w:rPr>
        <w:t>연방예금보험공사는 임시유동성보증프로그램을 도입했다. 일정한 무이자 거래계좌를 전액 보증하고, 참여 기관이 새로 발행한 일정한 선순위 무담보채무에 정부 보증을 제공하는 두 축이었다.</w:t>
      </w:r>
      <w:r>
        <w:rPr>
          <w:rFonts w:ascii="KoPubWorld바탕체_Pro Light" w:hAnsi="KoPubWorld바탕체_Pro Light" w:eastAsia="KoPubWorld바탕체_Pro Light" w:cs="KoPubWorld바탕체_Pro Light"/>
          <w:sz w:val="14"/>
          <w:vertAlign w:val="superscript"/>
        </w:rPr>
        <w:t>106</w:t>
      </w:r>
      <w:r>
        <w:rPr>
          <w:rFonts w:ascii="KoPubWorld바탕체_Pro Light" w:hAnsi="KoPubWorld바탕체_Pro Light" w:eastAsia="KoPubWorld바탕체_Pro Light" w:cs="KoPubWorld바탕체_Pro Light"/>
          <w:sz w:val="16"/>
        </w:rPr>
        <w:t xml:space="preserve"> 예금과 은행채에서 동시에 일어나는 자금 이탈을 막아 은행이 만기를 연장할 시간을 주려는 장치였다.</w:t>
      </w:r>
    </w:p>
    <w:p>
      <w:pPr>
        <w:pStyle w:val="aff3"/>
        <w:spacing w:line="259" w:lineRule="auto"/>
      </w:pPr>
      <w:r>
        <w:rPr>
          <w:rFonts w:ascii="KoPubWorld바탕체_Pro Light" w:hAnsi="KoPubWorld바탕체_Pro Light" w:eastAsia="KoPubWorld바탕체_Pro Light" w:cs="KoPubWorld바탕체_Pro Light"/>
          <w:sz w:val="16"/>
        </w:rPr>
        <w:t>연준은 비은행 금융시장으로 역할을 넓혔다. 상업어음, 머니마켓펀드 관련 자산, 자산유동화증권 등 평상시에는 중앙은행 창구와 거리가 있던 시장에 비상 유동성 시설을 만들었다. 연준 감찰관의 사후 검토는 2008년 3월부터 11월 사이 연준이 연방준비법 제13조 제3항을 활용한 여섯 개의 광범위한 유동성 시설을 운영했다고 정리했다.</w:t>
      </w:r>
      <w:r>
        <w:rPr>
          <w:rFonts w:ascii="KoPubWorld바탕체_Pro Light" w:hAnsi="KoPubWorld바탕체_Pro Light" w:eastAsia="KoPubWorld바탕체_Pro Light" w:cs="KoPubWorld바탕체_Pro Light"/>
          <w:sz w:val="14"/>
          <w:vertAlign w:val="superscript"/>
        </w:rPr>
        <w:t>107</w:t>
      </w:r>
    </w:p>
    <w:p>
      <w:pPr>
        <w:pStyle w:val="aff3"/>
        <w:spacing w:line="259" w:lineRule="auto"/>
      </w:pPr>
      <w:r>
        <w:rPr>
          <w:rFonts w:ascii="KoPubWorld바탕체_Pro Light" w:hAnsi="KoPubWorld바탕체_Pro Light" w:eastAsia="KoPubWorld바탕체_Pro Light" w:cs="KoPubWorld바탕체_Pro Light"/>
          <w:sz w:val="16"/>
        </w:rPr>
        <w:t>이 조합은 금융의 실제 구조를 따라 안전망이 이동한 사건이었다. 기업의 운영자금이 은행 대출이 아니라 상업어음에서 나오고, 현금성 저축이 머니마켓펀드에 있다면 은행 창구만 열어서는 신용 흐름이 살아나지 않는다. 위기대응은 그림자금융이 은행과 같은 공적 중요성을 가졌다는 사실을 인정했다.</w:t>
      </w:r>
    </w:p>
    <w:p>
      <w:pPr>
        <w:pStyle w:val="aff3"/>
        <w:spacing w:line="259" w:lineRule="auto"/>
      </w:pPr>
      <w:r>
        <w:rPr>
          <w:rFonts w:ascii="KoPubWorld바탕체_Pro Light" w:hAnsi="KoPubWorld바탕체_Pro Light" w:eastAsia="KoPubWorld바탕체_Pro Light" w:cs="KoPubWorld바탕체_Pro Light"/>
          <w:sz w:val="16"/>
        </w:rPr>
        <w:t>비상조치에는 출구가 필요했다. 보증을 너무 일찍 거두면 공황이 되살아나고, 너무 오래 유지하면 정부 보증을 받는 기관과 그렇지 않은 기관의 경쟁을 왜곡한다. 위기 가격으로 사들인 자산을 언제 매각할지, 자본을 받은 은행이 언제 상환하도록 할지도 납세자 수익과 금융 안정 사이의 선택이었다. 종료 기준을 미리 설명하는 것은 긴급수단의 정당성 일부였다.</w:t>
      </w:r>
      <w:r>
        <w:rPr>
          <w:rFonts w:ascii="KoPubWorld바탕체_Pro Light" w:hAnsi="KoPubWorld바탕체_Pro Light" w:eastAsia="KoPubWorld바탕체_Pro Light" w:cs="KoPubWorld바탕체_Pro Light"/>
          <w:sz w:val="14"/>
          <w:vertAlign w:val="superscript"/>
        </w:rPr>
        <w:t>106,105</w:t>
      </w:r>
    </w:p>
    <w:p>
      <w:pPr>
        <w:pStyle w:val="aff3"/>
        <w:spacing w:line="259" w:lineRule="auto"/>
      </w:pPr>
      <w:r>
        <w:rPr>
          <w:rFonts w:ascii="KoPubWorld바탕체_Pro Light" w:hAnsi="KoPubWorld바탕체_Pro Light" w:eastAsia="KoPubWorld바탕체_Pro Light" w:cs="KoPubWorld바탕체_Pro Light"/>
          <w:sz w:val="16"/>
        </w:rPr>
        <w:t>동시에 미래의 약속도 바뀌었다. 시장 참가자는 평상시 규제 밖에 있어도 시스템에 중요하면 위기 때 지원받을 수 있다고 학습할 수 있었다. 안전망이 넓어진 만큼 자본·유동성·공시와 정리 규칙도 넓혀야 했다. 그렇지 않으면 위험한 기능은 가장 가벼운 규제를 찾아 이동하고 보호는 뒤따르는 구조가 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스트레스 테스트가 신뢰를 만들다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2009년 초 은행의 공시 자본비율만으로는 불안을 잠재우기 어려웠다. 자산가격과 경기 전망에 따라 미래 손실이 얼마나 될지, 정부가 추가로 얼마를 넣어야 할지 시장은 알지 못했다. 불확실성이 크면 투자자는 최악을 가정하고 모든 은행을 의심한다.</w:t>
      </w:r>
      <w:r>
        <w:rPr>
          <w:rFonts w:ascii="KoPubWorld바탕체_Pro Light" w:hAnsi="KoPubWorld바탕체_Pro Light" w:eastAsia="KoPubWorld바탕체_Pro Light" w:cs="KoPubWorld바탕체_Pro Light"/>
          <w:sz w:val="14"/>
          <w:vertAlign w:val="superscript"/>
        </w:rPr>
        <w:t>108</w:t>
      </w:r>
    </w:p>
    <w:p>
      <w:pPr>
        <w:pStyle w:val="aff3"/>
        <w:spacing w:line="259" w:lineRule="auto"/>
      </w:pPr>
      <w:r>
        <w:rPr>
          <w:rFonts w:ascii="KoPubWorld바탕체_Pro Light" w:hAnsi="KoPubWorld바탕체_Pro Light" w:eastAsia="KoPubWorld바탕체_Pro Light" w:cs="KoPubWorld바탕체_Pro Light"/>
          <w:sz w:val="16"/>
        </w:rPr>
        <w:t>미국 감독당국은 19개 대형 은행지주회사를 대상으로 감독자본평가프로그램, SCAP를 실시했다. 공통된 불리한 거시경제 시나리오에서 2009~2010년의 예상 손실과 수익, 필요한 자본을 평가했고 2009년 5월 7일 결과를 공개했다. 평가 결과 10개 회사가 총 746억 달러의 추가 보통주형 자본을 확보해야 했다.</w:t>
      </w:r>
      <w:r>
        <w:rPr>
          <w:rFonts w:ascii="KoPubWorld바탕체_Pro Light" w:hAnsi="KoPubWorld바탕체_Pro Light" w:eastAsia="KoPubWorld바탕체_Pro Light" w:cs="KoPubWorld바탕체_Pro Light"/>
          <w:sz w:val="14"/>
          <w:vertAlign w:val="superscript"/>
        </w:rPr>
        <w:t>108</w:t>
      </w:r>
    </w:p>
    <w:p>
      <w:pPr>
        <w:pStyle w:val="aff3"/>
        <w:spacing w:line="259" w:lineRule="auto"/>
      </w:pPr>
      <w:r>
        <w:rPr>
          <w:rFonts w:ascii="KoPubWorld바탕체_Pro Light" w:hAnsi="KoPubWorld바탕체_Pro Light" w:eastAsia="KoPubWorld바탕체_Pro Light" w:cs="KoPubWorld바탕체_Pro Light"/>
          <w:sz w:val="16"/>
        </w:rPr>
        <w:t>스트레스 테스트는 단순한 계산 시험이 아니었다. 감독자가 은행별 자료를 비교하고 가정을 통일하며, 부족액을 공개하고, 필요한 경우 공적 자본을 이용할 수 있다는 뒷받침을 함께 제공했다. 시장은 손실의 정확한 숫자보다 손실을 발견하고 메울 절차가 있다는 점에서 신뢰를 얻었다.</w:t>
      </w:r>
    </w:p>
    <w:p>
      <w:pPr>
        <w:pStyle w:val="aff3"/>
        <w:spacing w:line="259" w:lineRule="auto"/>
      </w:pPr>
      <w:r>
        <w:rPr>
          <w:rFonts w:ascii="KoPubWorld바탕체_Pro Light" w:hAnsi="KoPubWorld바탕체_Pro Light" w:eastAsia="KoPubWorld바탕체_Pro Light" w:cs="KoPubWorld바탕체_Pro Light"/>
          <w:sz w:val="16"/>
        </w:rPr>
        <w:t>공통 시험은 감독기관 내부의 정보도 바꾸었다. 서로 다른 팀과 기관이 같은 은행의 대출자료를 비교하자 평가 관행의 차이가 드러났고, 은행끼리 손실률과 수익 전망을 나란히 볼 수 있었다. 스트레스 테스트는 은행을 평가하는 동시에 감독체계를 학습시키는 도구였다.</w:t>
      </w:r>
    </w:p>
    <w:p>
      <w:pPr>
        <w:pStyle w:val="aff3"/>
        <w:spacing w:line="259" w:lineRule="auto"/>
      </w:pPr>
      <w:r>
        <w:rPr>
          <w:rFonts w:ascii="KoPubWorld바탕체_Pro Light" w:hAnsi="KoPubWorld바탕체_Pro Light" w:eastAsia="KoPubWorld바탕체_Pro Light" w:cs="KoPubWorld바탕체_Pro Light"/>
          <w:sz w:val="16"/>
        </w:rPr>
        <w:t>이 성공에는 조건이 있었다. 시나리오가 충분히 가혹해야 하고, 결과를 숨기지 않아야 하며, 부족한 자본을 실제로 채울 수단이 있어야 한다. 자본을 보충할 뒷받침 없이 약점을 공개하면 공황을 키울 수 있다. 반대로 시나리오가 약하면 감독의 신뢰만 훼손한다. 스트레스 테스트는 투명성과 안전망, 강제력을 묶는 제도였다.</w:t>
      </w:r>
    </w:p>
    <w:p>
      <w:pPr>
        <w:pStyle w:val="aff3"/>
        <w:spacing w:line="259" w:lineRule="auto"/>
      </w:pPr>
      <w:r>
        <w:rPr>
          <w:rFonts w:ascii="KoPubWorld바탕체_Pro Light" w:hAnsi="KoPubWorld바탕체_Pro Light" w:eastAsia="KoPubWorld바탕체_Pro Light" w:cs="KoPubWorld바탕체_Pro Light"/>
          <w:sz w:val="16"/>
        </w:rPr>
        <w:t>또한 테스트는 위험을 확률 하나로 요약하는 대신 ‘만약 실업과 주택가격이 이렇게 나빠진다면’이라는 조건문을 제시했다. 미래를 맞히려는 예측보다 취약성을 드러내는 질문이었다. 이후 스트레스 테스트는 대형은행 감독의 정기적 도구가 되었지만, 공통 시나리오가 모든 새로운 위험을 상상할 수 없다는 한계는 남았다.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워싱턴에서 런던으로 간 개혁</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위기는 미국 주택시장에서 시작됐지만 달러 자금과 증권을 통해 유럽과 신흥국으로 빠르게 번졌다. 어느 나라가 자국 은행을 보증하면 다른 나라 은행에서 예금이 빠질 수 있고, 한 중앙은행의 유동성 공급은 국경 밖 은행에도 영향을 주었다. 국내 구제만으로는 공정한 경쟁과 금융안정을 함께 지키기 어려웠다.</w:t>
      </w:r>
    </w:p>
    <w:p>
      <w:pPr>
        <w:pStyle w:val="aff3"/>
        <w:spacing w:line="259" w:lineRule="auto"/>
      </w:pPr>
      <w:r>
        <w:rPr>
          <w:rFonts w:ascii="KoPubWorld바탕체_Pro Light" w:hAnsi="KoPubWorld바탕체_Pro Light" w:eastAsia="KoPubWorld바탕체_Pro Light" w:cs="KoPubWorld바탕체_Pro Light"/>
          <w:sz w:val="16"/>
        </w:rPr>
        <w:t>2009년 4월 2일 런던에 모인 G20 정상들은 금융안정포럼을 더 넓은 회원과 강화된 임무를 가진 금융안정위원회, FSB로 확대하기로 했다. 국제기준 제정기관의 협력, 시스템 중요 금융기관과 시장의 감시, 규제정책의 조정을 강화하는 목적이었다.</w:t>
      </w:r>
      <w:r>
        <w:rPr>
          <w:rFonts w:ascii="KoPubWorld바탕체_Pro Light" w:hAnsi="KoPubWorld바탕체_Pro Light" w:eastAsia="KoPubWorld바탕체_Pro Light" w:cs="KoPubWorld바탕체_Pro Light"/>
          <w:sz w:val="14"/>
          <w:vertAlign w:val="superscript"/>
        </w:rPr>
        <w:t>109</w:t>
      </w:r>
    </w:p>
    <w:p>
      <w:pPr>
        <w:pStyle w:val="aff3"/>
        <w:spacing w:line="259" w:lineRule="auto"/>
      </w:pPr>
      <w:r>
        <w:rPr>
          <w:rFonts w:ascii="KoPubWorld바탕체_Pro Light" w:hAnsi="KoPubWorld바탕체_Pro Light" w:eastAsia="KoPubWorld바탕체_Pro Light" w:cs="KoPubWorld바탕체_Pro Light"/>
          <w:sz w:val="16"/>
        </w:rPr>
        <w:t>이 결정은 국제 금융규제의 권력 지도를 바꾸었다. G7 중심 논의에 주요 신흥국이 들어왔고, 은행 자본뿐 아니라 보상, 장외파생상품, 신용평가, 정리제도, 비은행 금융이 하나의 개혁 의제로 묶였다. 위기가 연결되어 있다면 규칙도 연결되어야 한다는 판단이었다.</w:t>
      </w:r>
      <w:r>
        <w:rPr>
          <w:rFonts w:ascii="KoPubWorld바탕체_Pro Light" w:hAnsi="KoPubWorld바탕체_Pro Light" w:eastAsia="KoPubWorld바탕체_Pro Light" w:cs="KoPubWorld바탕체_Pro Light"/>
          <w:sz w:val="14"/>
          <w:vertAlign w:val="superscript"/>
        </w:rPr>
        <w:t>109</w:t>
      </w:r>
    </w:p>
    <w:p>
      <w:pPr>
        <w:pStyle w:val="aff3"/>
        <w:spacing w:line="259" w:lineRule="auto"/>
      </w:pPr>
      <w:r>
        <w:rPr>
          <w:rFonts w:ascii="KoPubWorld바탕체_Pro Light" w:hAnsi="KoPubWorld바탕체_Pro Light" w:eastAsia="KoPubWorld바탕체_Pro Light" w:cs="KoPubWorld바탕체_Pro Light"/>
          <w:sz w:val="16"/>
        </w:rPr>
        <w:t>다만 국제 합의는 국내 법으로 옮겨야 효력이 생긴다. 나라별 금융구조와 법률, 위기 경험이 달라 같은 원칙을 서로 다르게 구현했다. 빠른 공조는 최소선을 만들지만 세부 이행에는 규제 차익이 남는다. 국제기준은 주권을 없애지 않고 주권 행사에 공통의 기대를 더했다.</w:t>
      </w:r>
      <w:r>
        <w:rPr>
          <w:rFonts w:ascii="KoPubWorld바탕체_Pro Light" w:hAnsi="KoPubWorld바탕체_Pro Light" w:eastAsia="KoPubWorld바탕체_Pro Light" w:cs="KoPubWorld바탕체_Pro Light"/>
          <w:sz w:val="14"/>
          <w:vertAlign w:val="superscript"/>
        </w:rPr>
        <w:t>109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도드프랭크가 그린 새 지도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미국은 2010년 7월 21일 도드–프랭크 월가개혁·소비자보호법을 제정했다. 방대한 법은 하나의 실패 원인보다 위기의 여러 이음새를 겨냥했다. 금융안정감독위원회, 질서정연한 청산권한, 소비자금융보호국, 장외파생상품 규제, 대형기관 강화 감독, 볼커 규칙과 정리계획이 새 체계의 주요 부분이었다.</w:t>
      </w:r>
      <w:r>
        <w:rPr>
          <w:rFonts w:ascii="KoPubWorld바탕체_Pro Light" w:hAnsi="KoPubWorld바탕체_Pro Light" w:eastAsia="KoPubWorld바탕체_Pro Light" w:cs="KoPubWorld바탕체_Pro Light"/>
          <w:sz w:val="14"/>
          <w:vertAlign w:val="superscript"/>
        </w:rPr>
        <w:t>110</w:t>
      </w:r>
    </w:p>
    <w:p>
      <w:pPr>
        <w:pStyle w:val="aff3"/>
        <w:spacing w:line="259" w:lineRule="auto"/>
      </w:pPr>
      <w:r>
        <w:rPr>
          <w:rFonts w:ascii="KoPubWorld바탕체_Pro Light" w:hAnsi="KoPubWorld바탕체_Pro Light" w:eastAsia="KoPubWorld바탕체_Pro Light" w:cs="KoPubWorld바탕체_Pro Light"/>
          <w:sz w:val="16"/>
        </w:rPr>
        <w:t>금융안정감독위원회는 재무부와 연준, 예금보험공사, 증권·상품선물·소비자 감독기관 등이 한 테이블에서 시스템 위험을 보도록 했다. 업권별 감독의 사각지대를 줄이고, 중요한 비은행 금융회사를 강화 감독 대상으로 지정할 수 있게 했다.</w:t>
      </w:r>
      <w:r>
        <w:rPr>
          <w:rFonts w:ascii="KoPubWorld바탕체_Pro Light" w:hAnsi="KoPubWorld바탕체_Pro Light" w:eastAsia="KoPubWorld바탕체_Pro Light" w:cs="KoPubWorld바탕체_Pro Light"/>
          <w:sz w:val="14"/>
          <w:vertAlign w:val="superscript"/>
        </w:rPr>
        <w:t>110</w:t>
      </w:r>
      <w:r>
        <w:rPr>
          <w:rFonts w:ascii="KoPubWorld바탕체_Pro Light" w:hAnsi="KoPubWorld바탕체_Pro Light" w:eastAsia="KoPubWorld바탕체_Pro Light" w:cs="KoPubWorld바탕체_Pro Light"/>
          <w:sz w:val="16"/>
        </w:rPr>
        <w:t xml:space="preserve"> 정보 공유만으로 관할 갈등이 사라지지는 않지만 전체 시스템을 책임지는 공식 절차가 생겼다.</w:t>
      </w:r>
    </w:p>
    <w:p>
      <w:pPr>
        <w:pStyle w:val="aff3"/>
        <w:spacing w:line="259" w:lineRule="auto"/>
      </w:pPr>
      <w:r>
        <w:rPr>
          <w:rFonts w:ascii="KoPubWorld바탕체_Pro Light" w:hAnsi="KoPubWorld바탕체_Pro Light" w:eastAsia="KoPubWorld바탕체_Pro Light" w:cs="KoPubWorld바탕체_Pro Light"/>
          <w:sz w:val="16"/>
        </w:rPr>
        <w:t>장외파생상품 개혁은 표준화된 스왑을 중앙청산하고 거래정보를 보고하며, 딜러에게 자본과 증거금·행위 규칙을 적용하는 방향을 세웠다.</w:t>
      </w:r>
      <w:r>
        <w:rPr>
          <w:rFonts w:ascii="KoPubWorld바탕체_Pro Light" w:hAnsi="KoPubWorld바탕체_Pro Light" w:eastAsia="KoPubWorld바탕체_Pro Light" w:cs="KoPubWorld바탕체_Pro Light"/>
          <w:sz w:val="14"/>
          <w:vertAlign w:val="superscript"/>
        </w:rPr>
        <w:t>110</w:t>
      </w:r>
      <w:r>
        <w:rPr>
          <w:rFonts w:ascii="KoPubWorld바탕체_Pro Light" w:hAnsi="KoPubWorld바탕체_Pro Light" w:eastAsia="KoPubWorld바탕체_Pro Light" w:cs="KoPubWorld바탕체_Pro Light"/>
          <w:sz w:val="16"/>
        </w:rPr>
        <w:t xml:space="preserve"> 양자계약의 그물망을 중앙에서 보고 관리하려는 선택이었다. 중앙청산소는 상계를 통해 익스포저를 줄일 수 있지만 위험을 한곳에 집중하므로 자체의 자본, 증거금, 복구·정리 체계가 중요해졌다.</w:t>
      </w:r>
    </w:p>
    <w:p>
      <w:pPr>
        <w:pStyle w:val="aff3"/>
        <w:spacing w:line="259" w:lineRule="auto"/>
      </w:pPr>
      <w:r>
        <w:rPr>
          <w:rFonts w:ascii="KoPubWorld바탕체_Pro Light" w:hAnsi="KoPubWorld바탕체_Pro Light" w:eastAsia="KoPubWorld바탕체_Pro Light" w:cs="KoPubWorld바탕체_Pro Light"/>
          <w:sz w:val="16"/>
        </w:rPr>
        <w:t>볼커 규칙은 예금취급기관과 그 계열사의 자기계정거래 및 헤지·사모펀드 관련 투자를 일정 범위에서 제한했다.</w:t>
      </w:r>
      <w:r>
        <w:rPr>
          <w:rFonts w:ascii="KoPubWorld바탕체_Pro Light" w:hAnsi="KoPubWorld바탕체_Pro Light" w:eastAsia="KoPubWorld바탕체_Pro Light" w:cs="KoPubWorld바탕체_Pro Light"/>
          <w:sz w:val="14"/>
          <w:vertAlign w:val="superscript"/>
        </w:rPr>
        <w:t>110</w:t>
      </w:r>
      <w:r>
        <w:rPr>
          <w:rFonts w:ascii="KoPubWorld바탕체_Pro Light" w:hAnsi="KoPubWorld바탕체_Pro Light" w:eastAsia="KoPubWorld바탕체_Pro Light" w:cs="KoPubWorld바탕체_Pro Light"/>
          <w:sz w:val="16"/>
        </w:rPr>
        <w:t xml:space="preserve"> 공적 안전망을 이용하는 은행이 고객 서비스와 무관한 투기 거래로 손실을 내는 것을 막으려는 취지였다. 그러나 시장조성과 헤지, 금지된 자기계정거래를 구분하려면 거래 목적과 패턴을 판단해야 해 시행 규칙은 복잡해졌다.</w:t>
      </w:r>
    </w:p>
    <w:p>
      <w:pPr>
        <w:pStyle w:val="aff3"/>
        <w:spacing w:line="259" w:lineRule="auto"/>
      </w:pPr>
      <w:r>
        <w:rPr>
          <w:rFonts w:ascii="KoPubWorld바탕체_Pro Light" w:hAnsi="KoPubWorld바탕체_Pro Light" w:eastAsia="KoPubWorld바탕체_Pro Light" w:cs="KoPubWorld바탕체_Pro Light"/>
          <w:sz w:val="16"/>
        </w:rPr>
        <w:t>대형은행에는 강화된 자본·유동성 감독과 정기 스트레스 테스트, ‘생전 유언’이라 불리는 정리계획이 요구됐다.</w:t>
      </w:r>
      <w:r>
        <w:rPr>
          <w:rFonts w:ascii="KoPubWorld바탕체_Pro Light" w:hAnsi="KoPubWorld바탕체_Pro Light" w:eastAsia="KoPubWorld바탕체_Pro Light" w:cs="KoPubWorld바탕체_Pro Light"/>
          <w:sz w:val="14"/>
          <w:vertAlign w:val="superscript"/>
        </w:rPr>
        <w:t>110,111</w:t>
      </w:r>
      <w:r>
        <w:rPr>
          <w:rFonts w:ascii="KoPubWorld바탕체_Pro Light" w:hAnsi="KoPubWorld바탕체_Pro Light" w:eastAsia="KoPubWorld바탕체_Pro Light" w:cs="KoPubWorld바탕체_Pro Light"/>
          <w:sz w:val="16"/>
        </w:rPr>
        <w:t xml:space="preserve"> 규제의 초점이 실패 확률을 낮추는 데서 실패 가능성을 전제로 준비하는 데까지 넓어졌다. 어떤 법인을 팔고, 핵심 기능을 이어가며, 해외 감독자와 어떻게 협력할지 평상시에 지도화하려는 것이다.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소비자 보호와 실패의 질서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주택대출의 문제는 은행의 자본만으로 설명되지 않았다. 복잡한 금리 조건, 불충분한 상환능력 심사, 판매자의 보상 유인이 가계의 계약 단계에서 위험을 만들었다. 도드프랭크는 여러 연방기관에 흩어져 있던 소비자금융 규칙 집행 권한을 소비자금융보호국에 모았다. CFPB는 일곱 기관에서 기능을 넘겨받아 2011년 업무를 시작했다.</w:t>
      </w:r>
      <w:r>
        <w:rPr>
          <w:rFonts w:ascii="KoPubWorld바탕체_Pro Light" w:hAnsi="KoPubWorld바탕체_Pro Light" w:eastAsia="KoPubWorld바탕체_Pro Light" w:cs="KoPubWorld바탕체_Pro Light"/>
          <w:sz w:val="14"/>
          <w:vertAlign w:val="superscript"/>
        </w:rPr>
        <w:t>112</w:t>
      </w:r>
    </w:p>
    <w:p>
      <w:pPr>
        <w:pStyle w:val="aff3"/>
        <w:spacing w:line="259" w:lineRule="auto"/>
      </w:pPr>
      <w:r>
        <w:rPr>
          <w:rFonts w:ascii="KoPubWorld바탕체_Pro Light" w:hAnsi="KoPubWorld바탕체_Pro Light" w:eastAsia="KoPubWorld바탕체_Pro Light" w:cs="KoPubWorld바탕체_Pro Light"/>
          <w:sz w:val="16"/>
        </w:rPr>
        <w:t>건전성 감독과 소비자 보호는 목표가 다를 수 있다. 수수료가 높은 상품은 은행 수익과 자본을 늘리지만 소비자에게 부당할 수 있다. 반대로 소비자 구제 비용은 단기적으로 은행의 손실을 키운다. 한 기관이 두 목표를 함께 맡으면 건전성을 이유로 판매 관행을 소홀히 할 가능성이 있어 별도 조직이 필요하다는 논리였다.</w:t>
      </w:r>
    </w:p>
    <w:p>
      <w:pPr>
        <w:pStyle w:val="aff3"/>
        <w:spacing w:line="259" w:lineRule="auto"/>
      </w:pPr>
      <w:r>
        <w:rPr>
          <w:rFonts w:ascii="KoPubWorld바탕체_Pro Light" w:hAnsi="KoPubWorld바탕체_Pro Light" w:eastAsia="KoPubWorld바탕체_Pro Light" w:cs="KoPubWorld바탕체_Pro Light"/>
          <w:sz w:val="16"/>
        </w:rPr>
        <w:t>대형 금융회사의 실패에는 별도의 질서정연한 청산권한이 마련됐다. 일반 파산이 미국 금융안정을 심각하게 위협한다고 판단되는 예외적 상황에서 FDIC가 회사를 정리할 수 있는 틀이며, 주주와 무담보 채권자에게 손실을 부담시키고 경영진을 교체하면서 핵심 기능을 유지하는 것이 목적이다.</w:t>
      </w:r>
      <w:r>
        <w:rPr>
          <w:rFonts w:ascii="KoPubWorld바탕체_Pro Light" w:hAnsi="KoPubWorld바탕체_Pro Light" w:eastAsia="KoPubWorld바탕체_Pro Light" w:cs="KoPubWorld바탕체_Pro Light"/>
          <w:sz w:val="14"/>
          <w:vertAlign w:val="superscript"/>
        </w:rPr>
        <w:t>111</w:t>
      </w:r>
    </w:p>
    <w:p>
      <w:pPr>
        <w:pStyle w:val="aff3"/>
        <w:spacing w:line="259" w:lineRule="auto"/>
      </w:pPr>
      <w:r>
        <w:rPr>
          <w:rFonts w:ascii="KoPubWorld바탕체_Pro Light" w:hAnsi="KoPubWorld바탕체_Pro Light" w:eastAsia="KoPubWorld바탕체_Pro Light" w:cs="KoPubWorld바탕체_Pro Light"/>
          <w:sz w:val="16"/>
        </w:rPr>
        <w:t>이 장치는 ‘구제하지 않겠다’는 선언만으로는 믿음을 얻을 수 없다는 인식에서 나왔다. 실제로 실패시킬 도구가 있어야 정부가 지원과 붕괴 사이의 양자택일을 피한다. 그러나 위기 순간에 당국이 채권자 손실을 감수할지는 여전히 정치적 판단이다. 법적 권한은 신뢰할 만한 실행 계획과 국제 공조가 있을 때만 구제 기대를 줄인다.</w:t>
      </w:r>
      <w:r>
        <w:rPr>
          <w:rFonts w:ascii="KoPubWorld바탕체_Pro Light" w:hAnsi="KoPubWorld바탕체_Pro Light" w:eastAsia="KoPubWorld바탕체_Pro Light" w:cs="KoPubWorld바탕체_Pro Light"/>
          <w:sz w:val="14"/>
          <w:vertAlign w:val="superscript"/>
        </w:rPr>
        <w:t>111</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너무 크고, 너무 복잡한 법인가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도드프랭크 비판자들은 방대한 규칙과 보고 의무가 고정비용을 높여 작은 지역은행에 더 큰 부담을 주고, 대형기관에 시장을 집중시킬 수 있다고 주장했다. 미국 회계감사원은 지역은행과 신용협동조합이 규제 준수 비용 증가를 호소했다고 확인했지만, 규제별 비용을 다른 경영환경 변화와 분리해 정확히 측정하기 어렵다고 지적했다.</w:t>
      </w:r>
      <w:r>
        <w:rPr>
          <w:rFonts w:ascii="KoPubWorld바탕체_Pro Light" w:hAnsi="KoPubWorld바탕체_Pro Light" w:eastAsia="KoPubWorld바탕체_Pro Light" w:cs="KoPubWorld바탕체_Pro Light"/>
          <w:sz w:val="14"/>
          <w:vertAlign w:val="superscript"/>
        </w:rPr>
        <w:t>113</w:t>
      </w:r>
    </w:p>
    <w:p>
      <w:pPr>
        <w:pStyle w:val="aff3"/>
        <w:spacing w:line="259" w:lineRule="auto"/>
      </w:pPr>
      <w:r>
        <w:rPr>
          <w:rFonts w:ascii="KoPubWorld바탕체_Pro Light" w:hAnsi="KoPubWorld바탕체_Pro Light" w:eastAsia="KoPubWorld바탕체_Pro Light" w:cs="KoPubWorld바탕체_Pro Light"/>
          <w:sz w:val="16"/>
        </w:rPr>
        <w:t>지지자들은 위기의 공공비용과 대형기관의 암묵적 보조금을 생각하면 더 높은 안전비용이 정당하다고 본다. 자본과 유동성이 두꺼워지고 파생상품 정보가 모이면 위기 확률과 전염 비용을 낮출 수 있다. 소비자 보호와 정리계획은 기존 자본규제만으로 채울 수 없는 빈틈을 메운다.</w:t>
      </w:r>
    </w:p>
    <w:p>
      <w:pPr>
        <w:pStyle w:val="aff3"/>
        <w:spacing w:line="259" w:lineRule="auto"/>
      </w:pPr>
      <w:r>
        <w:rPr>
          <w:rFonts w:ascii="KoPubWorld바탕체_Pro Light" w:hAnsi="KoPubWorld바탕체_Pro Light" w:eastAsia="KoPubWorld바탕체_Pro Light" w:cs="KoPubWorld바탕체_Pro Light"/>
          <w:sz w:val="16"/>
        </w:rPr>
        <w:t>규제가 신용을 크게 위축시켰다는 주장도 단순하지 않다. 회계감사원은 금융위기 이후 지역은행의 대출 변화에서 경제상황과 경쟁 등 여러 요인이 중요했으며, 분석 가능한 범위에서 규제의 효과는 대체로 크지 않았다고 평가했다.</w:t>
      </w:r>
      <w:r>
        <w:rPr>
          <w:rFonts w:ascii="KoPubWorld바탕체_Pro Light" w:hAnsi="KoPubWorld바탕체_Pro Light" w:eastAsia="KoPubWorld바탕체_Pro Light" w:cs="KoPubWorld바탕체_Pro Light"/>
          <w:sz w:val="14"/>
          <w:vertAlign w:val="superscript"/>
        </w:rPr>
        <w:t>114</w:t>
      </w:r>
      <w:r>
        <w:rPr>
          <w:rFonts w:ascii="KoPubWorld바탕체_Pro Light" w:hAnsi="KoPubWorld바탕체_Pro Light" w:eastAsia="KoPubWorld바탕체_Pro Light" w:cs="KoPubWorld바탕체_Pro Light"/>
          <w:sz w:val="16"/>
        </w:rPr>
        <w:t xml:space="preserve"> 그렇다고 개별 규칙의 누적 부담이 없다는 뜻은 아니다. 평균 효과와 특정 지역·상품의 효과를 구분해야 한다.</w:t>
      </w:r>
    </w:p>
    <w:p>
      <w:pPr>
        <w:pStyle w:val="aff3"/>
        <w:spacing w:line="259" w:lineRule="auto"/>
      </w:pPr>
      <w:r>
        <w:rPr>
          <w:rFonts w:ascii="KoPubWorld바탕체_Pro Light" w:hAnsi="KoPubWorld바탕체_Pro Light" w:eastAsia="KoPubWorld바탕체_Pro Light" w:cs="KoPubWorld바탕체_Pro Light"/>
          <w:sz w:val="16"/>
        </w:rPr>
        <w:t>2018년 경제성장·규제완화·소비자보호법은 강화 감독과 스트레스 테스트가 적용되는 자산기준을 조정하고 일부 기관의 규제를 맞춤화했다.</w:t>
      </w:r>
      <w:r>
        <w:rPr>
          <w:rFonts w:ascii="KoPubWorld바탕체_Pro Light" w:hAnsi="KoPubWorld바탕체_Pro Light" w:eastAsia="KoPubWorld바탕체_Pro Light" w:cs="KoPubWorld바탕체_Pro Light"/>
          <w:sz w:val="14"/>
          <w:vertAlign w:val="superscript"/>
        </w:rPr>
        <w:t>115</w:t>
      </w:r>
      <w:r>
        <w:rPr>
          <w:rFonts w:ascii="KoPubWorld바탕체_Pro Light" w:hAnsi="KoPubWorld바탕체_Pro Light" w:eastAsia="KoPubWorld바탕체_Pro Light" w:cs="KoPubWorld바탕체_Pro Light"/>
          <w:sz w:val="16"/>
        </w:rPr>
        <w:t xml:space="preserve"> 이는 위기 후 규제가 시간이 지나면서 위험에 맞춰 재조정되는 전형적 과정이었다. 완화의 지지자는 규모가 작은 기관에 비례성을 회복했다고 보았고, 비판자는 빠르게 성장하는 중견은행의 위험을 덜 보게 만들 수 있다고 우려했다.</w:t>
      </w:r>
    </w:p>
    <w:p>
      <w:pPr>
        <w:pStyle w:val="aff3"/>
        <w:spacing w:line="259" w:lineRule="auto"/>
      </w:pPr>
      <w:r>
        <w:rPr>
          <w:rFonts w:ascii="KoPubWorld바탕체_Pro Light" w:hAnsi="KoPubWorld바탕체_Pro Light" w:eastAsia="KoPubWorld바탕체_Pro Light" w:cs="KoPubWorld바탕체_Pro Light"/>
          <w:sz w:val="16"/>
        </w:rPr>
        <w:t>도드프랭크의 진짜 시험은 조문 수가 아니라 다음 충격에서 드러난다. 구제의 범위를 줄이고 실패를 질서 있게 만들었는가, 위험이 비은행과 새로운 상품으로 이동할 때 경계를 따라갔는가가 기준이다. 개혁은 이전 위기의 지도를 정교하게 그렸지만 다음 위기는 같은 길로 오지 않는다.</w:t>
      </w:r>
      <w:r>
        <w:rPr>
          <w:rFonts w:ascii="KoPubWorld바탕체_Pro Light" w:hAnsi="KoPubWorld바탕체_Pro Light" w:eastAsia="KoPubWorld바탕체_Pro Light" w:cs="KoPubWorld바탕체_Pro Light"/>
          <w:sz w:val="14"/>
          <w:vertAlign w:val="superscript"/>
        </w:rPr>
        <w:t>110</w:t>
      </w:r>
    </w:p>
    <w:p>
      <w:pPr>
        <w:pStyle w:val="aff3"/>
        <w:spacing w:line="259" w:lineRule="auto"/>
      </w:pPr>
      <w:r>
        <w:rPr>
          <w:rFonts w:ascii="KoPubWorld바탕체_Pro Light" w:hAnsi="KoPubWorld바탕체_Pro Light" w:eastAsia="KoPubWorld바탕체_Pro Light" w:cs="KoPubWorld바탕체_Pro Light"/>
          <w:sz w:val="16"/>
        </w:rPr>
        <w:t>법의 복잡성은 금융의 복잡성을 일부 반영한다. 단순한 원칙은 우회가 쉽고, 세부 규칙은 준수 비용과 새로운 빈틈을 만든다. 그래서 좋은 체계는 명확한 최소선과 감독자의 재량, 사후 책임을 함께 둬야 한다. 재량만 있으면 예측 가능성이 약하고, 규칙만 있으면 경제적 기능이 법적 형식으로 도망간다.</w:t>
      </w:r>
      <w:r>
        <w:rPr>
          <w:rFonts w:ascii="KoPubWorld바탕체_Pro Light" w:hAnsi="KoPubWorld바탕체_Pro Light" w:eastAsia="KoPubWorld바탕체_Pro Light" w:cs="KoPubWorld바탕체_Pro Light"/>
          <w:sz w:val="14"/>
          <w:vertAlign w:val="superscript"/>
        </w:rPr>
        <w:t>110,113</w:t>
      </w:r>
    </w:p>
    <w:p>
      <w:pPr>
        <w:pStyle w:val="aff3"/>
        <w:spacing w:line="259" w:lineRule="auto"/>
      </w:pPr>
      <w:r>
        <w:rPr>
          <w:rFonts w:ascii="KoPubWorld바탕체_Pro Light" w:hAnsi="KoPubWorld바탕체_Pro Light" w:eastAsia="KoPubWorld바탕체_Pro Light" w:cs="KoPubWorld바탕체_Pro Light"/>
          <w:sz w:val="16"/>
        </w:rPr>
        <w:t>2008년의 구제는 시스템을 멈추지 않게 했고 2010년의 법은 그 구제가 반복되지 않을 장치를 만들려 했다. 이제 국제사회는 은행의 체력과 유동성, 시스템 전체의 과열, 실패시 손실배분을 공통 기준으로 엮어야 했다. 그 작업의 이름이 바젤 III와 거시건전성 정책이었다.</w:t>
      </w:r>
      <w:r>
        <w:rPr>
          <w:rFonts w:ascii="KoPubWorld바탕체_Pro Light" w:hAnsi="KoPubWorld바탕체_Pro Light" w:eastAsia="KoPubWorld바탕체_Pro Light" w:cs="KoPubWorld바탕체_Pro Light"/>
          <w:sz w:val="14"/>
          <w:vertAlign w:val="superscript"/>
        </w:rPr>
        <w:t>110,116</w:t>
      </w:r>
    </w:p>
    <w:p>
      <w:pPr>
        <w:pStyle w:val="aff2"/>
        <w:pageBreakBefore/>
        <w:spacing w:before="440"/>
        <w:jc w:val="center"/>
      </w:pPr>
      <w:r>
        <w:rPr>
          <w:rFonts w:ascii="KoPubWorld바탕체_Pro Bold" w:hAnsi="KoPubWorld바탕체_Pro Bold" w:eastAsia="KoPubWorld바탕체_Pro Bold" w:cs="KoPubWorld바탕체_Pro Bold"/>
          <w:b/>
          <w:sz w:val="24"/>
        </w:rPr>
        <w:t>Chapter. 21</w:t>
      </w:r>
    </w:p>
    <w:p>
      <w:pPr>
        <w:pStyle w:val="aff1"/>
        <w:jc w:val="center"/>
      </w:pPr>
      <w:r>
        <w:rPr>
          <w:rFonts w:ascii="KoPubWorld바탕체_Pro Bold" w:hAnsi="KoPubWorld바탕체_Pro Bold" w:eastAsia="KoPubWorld바탕체_Pro Bold" w:cs="KoPubWorld바탕체_Pro Bold"/>
          <w:b/>
          <w:sz w:val="28"/>
        </w:rPr>
        <w:t>다음 위기를 상상하는 규제</w:t>
      </w:r>
    </w:p>
    <w:p>
      <w:pPr>
        <w:spacing w:before="60" w:after="0"/>
      </w:pPr>
    </w:p>
    <w:p>
      <w:pPr>
        <w:keepNext/>
        <w:jc w:val="center"/>
      </w:pPr>
      <w:r>
        <w:drawing>
          <wp:inline xmlns:a="http://schemas.openxmlformats.org/drawingml/2006/main" xmlns:pic="http://schemas.openxmlformats.org/drawingml/2006/picture">
            <wp:extent cx="3941063" cy="2218026"/>
            <wp:docPr id="12" name="Picture 12" descr="스트레스테스트 상황실. 감독은 현재 장부에서 미래 충격의 생존능력으로 시선을 옮겼다." title="스트레스테스트 상황실. 감독은 현재 장부에서 미래 충격의 생존능력으로 시선을 옮겼다."/>
            <wp:cNvGraphicFramePr>
              <a:graphicFrameLocks noChangeAspect="1"/>
            </wp:cNvGraphicFramePr>
            <a:graphic>
              <a:graphicData uri="http://schemas.openxmlformats.org/drawingml/2006/picture">
                <pic:pic>
                  <pic:nvPicPr>
                    <pic:cNvPr id="0" name="ch21_stress_test_gray_q86.jpg"/>
                    <pic:cNvPicPr/>
                  </pic:nvPicPr>
                  <pic:blipFill>
                    <a:blip r:embed="rId49"/>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21. 스트레스테스트 상황실. 감독은 현재 장부에서 미래 충격의 생존능력으로 시선을 옮겼다.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2010년 바젤의 회의실에서 감독자들이 본 것은 당시 은행의 대차대조표만이 아니었다. 그들은 아직 오지 않은 불황을 숫자 안에 넣으려 했다. 주택가격이 떨어지고 자금시장이 닫힐 때도 자본이 손실을 흡수하는가. 예금과 단기채가 빠져나갈 때 한 달을 버틸 현금성 자산이 있는가. 모든 은행이 동시에 자산을 팔지 않아도 되는가. 2008년 이전 규제가 평균적 위험을 정교하게 재었다면, 위기 뒤 규제는 평균 밖의 충격과 집단행동을 상상하기 시작했다.</w:t>
      </w:r>
      <w:r>
        <w:rPr>
          <w:rFonts w:ascii="KoPubWorld바탕체_Pro Light" w:hAnsi="KoPubWorld바탕체_Pro Light" w:eastAsia="KoPubWorld바탕체_Pro Light" w:cs="KoPubWorld바탕체_Pro Light"/>
          <w:sz w:val="14"/>
          <w:vertAlign w:val="superscript"/>
        </w:rPr>
        <w:t>116</w:t>
      </w:r>
    </w:p>
    <w:p>
      <w:pPr>
        <w:pStyle w:val="aff3"/>
        <w:spacing w:line="259" w:lineRule="auto"/>
      </w:pPr>
      <w:r>
        <w:rPr>
          <w:rFonts w:ascii="KoPubWorld바탕체_Pro Light" w:hAnsi="KoPubWorld바탕체_Pro Light" w:eastAsia="KoPubWorld바탕체_Pro Light" w:cs="KoPubWorld바탕체_Pro Light"/>
          <w:sz w:val="16"/>
        </w:rPr>
        <w:t>바젤은행감독위원회는 2010년 합의하고 2011년 개정본으로 정리한 바젤 III에서 자본의 질과 양을 높이고, 레버리지비율과 유동성 기준, 자본보전완충자본과 경기대응완충자본을 도입했다. 목표는 개별 은행의 복원력뿐 아니라 은행 시스템에서 실물경제로 충격이 증폭되는 경로를 줄이는 것이었다.</w:t>
      </w:r>
      <w:r>
        <w:rPr>
          <w:rFonts w:ascii="KoPubWorld바탕체_Pro Light" w:hAnsi="KoPubWorld바탕체_Pro Light" w:eastAsia="KoPubWorld바탕체_Pro Light" w:cs="KoPubWorld바탕체_Pro Light"/>
          <w:sz w:val="14"/>
          <w:vertAlign w:val="superscript"/>
        </w:rPr>
        <w:t>116</w:t>
      </w:r>
    </w:p>
    <w:p>
      <w:pPr>
        <w:pStyle w:val="aff3"/>
        <w:spacing w:line="259" w:lineRule="auto"/>
      </w:pPr>
      <w:r>
        <w:rPr>
          <w:rFonts w:ascii="KoPubWorld바탕체_Pro Light" w:hAnsi="KoPubWorld바탕체_Pro Light" w:eastAsia="KoPubWorld바탕체_Pro Light" w:cs="KoPubWorld바탕체_Pro Light"/>
          <w:sz w:val="16"/>
        </w:rPr>
        <w:t>바젤 III는 바젤 II를 폐기한 단일 법률이 아니다. 위험가중자산 체계를 유지하면서 단순한 보조지표와 완충재를 겹친 국제 최소기준이다. 각국은 자국 법과 감독규정으로 옮기고 일정에 따라 시행했다. 위기 뒤의 교훈은 하나의 정확한 측정값보다 서로 다른 실패를 막는 여러 방어선이 필요하다는 것이었다.</w:t>
      </w:r>
      <w:r>
        <w:rPr>
          <w:rFonts w:ascii="KoPubWorld바탕체_Pro Light" w:hAnsi="KoPubWorld바탕체_Pro Light" w:eastAsia="KoPubWorld바탕체_Pro Light" w:cs="KoPubWorld바탕체_Pro Light"/>
          <w:sz w:val="14"/>
          <w:vertAlign w:val="superscript"/>
        </w:rPr>
        <w:t>116</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손실을 받을 수 있는 자본</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위기 전 은행은 규제상 자본비율을 충족하면서도 손실을 즉시 흡수하기 어려운 우선주와 혼합자본을 많이 포함할 수 있었다. 정부 지원 없이 계속기업 상태에서 손실을 받을 보통주가 부족하면 높은 총자본비율이 안전을 보장하지 못한다. 바젤 III는 보통주자본을 핵심에 놓고 공제 항목과 자본 인정 요건을 강화했다.</w:t>
      </w:r>
      <w:r>
        <w:rPr>
          <w:rFonts w:ascii="KoPubWorld바탕체_Pro Light" w:hAnsi="KoPubWorld바탕체_Pro Light" w:eastAsia="KoPubWorld바탕체_Pro Light" w:cs="KoPubWorld바탕체_Pro Light"/>
          <w:sz w:val="14"/>
          <w:vertAlign w:val="superscript"/>
        </w:rPr>
        <w:t>116</w:t>
      </w:r>
    </w:p>
    <w:p>
      <w:pPr>
        <w:pStyle w:val="aff3"/>
        <w:spacing w:line="259" w:lineRule="auto"/>
      </w:pPr>
      <w:r>
        <w:rPr>
          <w:rFonts w:ascii="KoPubWorld바탕체_Pro Light" w:hAnsi="KoPubWorld바탕체_Pro Light" w:eastAsia="KoPubWorld바탕체_Pro Light" w:cs="KoPubWorld바탕체_Pro Light"/>
          <w:sz w:val="16"/>
        </w:rPr>
        <w:t>최소치 위에는 자본보전완충자본을 두었다. 은행이 완충 구간으로 내려가면 배당과 자사주 매입, 상여 지급 같은 이익 분배가 제한된다. 자본이 최소선에 닿기 전에 유출을 막고 스스로 회복할 시간을 주는 장치다.</w:t>
      </w:r>
      <w:r>
        <w:rPr>
          <w:rFonts w:ascii="KoPubWorld바탕체_Pro Light" w:hAnsi="KoPubWorld바탕체_Pro Light" w:eastAsia="KoPubWorld바탕체_Pro Light" w:cs="KoPubWorld바탕체_Pro Light"/>
          <w:sz w:val="14"/>
          <w:vertAlign w:val="superscript"/>
        </w:rPr>
        <w:t>116</w:t>
      </w:r>
      <w:r>
        <w:rPr>
          <w:rFonts w:ascii="KoPubWorld바탕체_Pro Light" w:hAnsi="KoPubWorld바탕체_Pro Light" w:eastAsia="KoPubWorld바탕체_Pro Light" w:cs="KoPubWorld바탕체_Pro Light"/>
          <w:sz w:val="16"/>
        </w:rPr>
        <w:t xml:space="preserve"> 최소 기준은 절벽처럼 작동하지만 완충자본은 경고구역을 만든다.</w:t>
      </w:r>
    </w:p>
    <w:p>
      <w:pPr>
        <w:pStyle w:val="aff3"/>
        <w:spacing w:line="259" w:lineRule="auto"/>
      </w:pPr>
      <w:r>
        <w:rPr>
          <w:rFonts w:ascii="KoPubWorld바탕체_Pro Light" w:hAnsi="KoPubWorld바탕체_Pro Light" w:eastAsia="KoPubWorld바탕체_Pro Light" w:cs="KoPubWorld바탕체_Pro Light"/>
          <w:sz w:val="16"/>
        </w:rPr>
        <w:t>위험가중치의 오류를 보완하기 위해 레버리지비율도 도입됐다. 위험가중치를 적용하지 않은 익스포저 총액에 비해 기본자본을 얼마나 보유하는지 보는 단순한 지표다.</w:t>
      </w:r>
      <w:r>
        <w:rPr>
          <w:rFonts w:ascii="KoPubWorld바탕체_Pro Light" w:hAnsi="KoPubWorld바탕체_Pro Light" w:eastAsia="KoPubWorld바탕체_Pro Light" w:cs="KoPubWorld바탕체_Pro Light"/>
          <w:sz w:val="14"/>
          <w:vertAlign w:val="superscript"/>
        </w:rPr>
        <w:t>116</w:t>
      </w:r>
      <w:r>
        <w:rPr>
          <w:rFonts w:ascii="KoPubWorld바탕체_Pro Light" w:hAnsi="KoPubWorld바탕체_Pro Light" w:eastAsia="KoPubWorld바탕체_Pro Light" w:cs="KoPubWorld바탕체_Pro Light"/>
          <w:sz w:val="16"/>
        </w:rPr>
        <w:t xml:space="preserve"> 내부모형이나 낮은 위험가중치가 실제 위험을 과소평가해도 대차대조표의 총팽창을 제한하는 뒷문 방어선이다.</w:t>
      </w:r>
    </w:p>
    <w:p>
      <w:pPr>
        <w:pStyle w:val="aff3"/>
        <w:spacing w:line="259" w:lineRule="auto"/>
      </w:pPr>
      <w:r>
        <w:rPr>
          <w:rFonts w:ascii="KoPubWorld바탕체_Pro Light" w:hAnsi="KoPubWorld바탕체_Pro Light" w:eastAsia="KoPubWorld바탕체_Pro Light" w:cs="KoPubWorld바탕체_Pro Light"/>
          <w:sz w:val="16"/>
        </w:rPr>
        <w:t>단순 지표에도 비용이 있다. 안전한 자산과 위험한 자산을 같은 분모로 보면 낮은 마진의 안전자산 보유를 줄이거나 더 높은 수익·위험을 택할 유인이 생길 수 있다. 반대로 위험가중 비율만 쓰면 모형과 규제 분류를 이용한 차익이 커진다. 두 비율을 겹치는 이유는 어느 하나가 진실이라서가 아니라 서로 다른 오류를 견제하기 위해서다.</w:t>
      </w:r>
    </w:p>
    <w:p>
      <w:pPr>
        <w:pStyle w:val="aff3"/>
        <w:spacing w:line="259" w:lineRule="auto"/>
      </w:pPr>
      <w:r>
        <w:rPr>
          <w:rFonts w:ascii="KoPubWorld바탕체_Pro Light" w:hAnsi="KoPubWorld바탕체_Pro Light" w:eastAsia="KoPubWorld바탕체_Pro Light" w:cs="KoPubWorld바탕체_Pro Light"/>
          <w:sz w:val="16"/>
        </w:rPr>
        <w:t>더 많은 자본이 대출비용을 높인다는 우려도 제기됐다. 은행은 자기자본이 부채보다 비싸다고 보고 비용을 차주에게 넘길 수 있다. 반면 자본이 두꺼우면 파산 위험과 자금조달 위험 프리미엄이 낮아지고, 위기 때 신용 축소와 공공구제 비용이 줄어든다. 적정 수준은 위기 확률 감소의 사회적 편익과 평상시 중개비용을 함께 비교해야 한다. 숫자 논쟁은 가치 판단과 분리되지 않는다.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30일과 1년의 유동성</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2008년은 자본과 유동성이 다른 문제임을 보여주었다. 지급능력이 있어 보이는 기관도 단기 채권자가 만기를 연장하지 않으면 며칠 만에 무너질 수 있다. 중앙은행은 최종대부자이지만 어느 기관이 일시적 유동성 부족인지 이미 지급불능인지 실시간으로 구분하기 어렵다. 평상시에 자체 유동성 완충재를 쌓게 할 필요가 있었다.</w:t>
      </w:r>
      <w:r>
        <w:rPr>
          <w:rFonts w:ascii="KoPubWorld바탕체_Pro Light" w:hAnsi="KoPubWorld바탕체_Pro Light" w:eastAsia="KoPubWorld바탕체_Pro Light" w:cs="KoPubWorld바탕체_Pro Light"/>
          <w:sz w:val="14"/>
          <w:vertAlign w:val="superscript"/>
        </w:rPr>
        <w:t>117,118</w:t>
      </w:r>
    </w:p>
    <w:p>
      <w:pPr>
        <w:pStyle w:val="aff3"/>
        <w:spacing w:line="259" w:lineRule="auto"/>
      </w:pPr>
      <w:r>
        <w:rPr>
          <w:rFonts w:ascii="KoPubWorld바탕체_Pro Light" w:hAnsi="KoPubWorld바탕체_Pro Light" w:eastAsia="KoPubWorld바탕체_Pro Light" w:cs="KoPubWorld바탕체_Pro Light"/>
          <w:sz w:val="16"/>
        </w:rPr>
        <w:t>바젤위원회가 2013년 확정한 유동성커버리지비율, LCR은 30일의 심각한 스트레스에서 예상되는 순현금유출을 감당할 고유동성자산을 보유하도록 했다. 정상 적용 시 비율은 100퍼센트 이상이 원칙이지만, 위기에는 은행이 완충재를 사용해 기준 아래로 내려갈 수 있도록 설계됐다.</w:t>
      </w:r>
      <w:r>
        <w:rPr>
          <w:rFonts w:ascii="KoPubWorld바탕체_Pro Light" w:hAnsi="KoPubWorld바탕체_Pro Light" w:eastAsia="KoPubWorld바탕체_Pro Light" w:cs="KoPubWorld바탕체_Pro Light"/>
          <w:sz w:val="14"/>
          <w:vertAlign w:val="superscript"/>
        </w:rPr>
        <w:t>117</w:t>
      </w:r>
    </w:p>
    <w:p>
      <w:pPr>
        <w:pStyle w:val="aff3"/>
        <w:spacing w:line="259" w:lineRule="auto"/>
      </w:pPr>
      <w:r>
        <w:rPr>
          <w:rFonts w:ascii="KoPubWorld바탕체_Pro Light" w:hAnsi="KoPubWorld바탕체_Pro Light" w:eastAsia="KoPubWorld바탕체_Pro Light" w:cs="KoPubWorld바탕체_Pro Light"/>
          <w:sz w:val="16"/>
        </w:rPr>
        <w:t>여기서 중요한 것은 ‘사용 가능한’ 완충재다. 기준을 절대 넘을 수 없는 통과선으로만 운영하면 은행은 위기에도 고유동성자산을 팔지 않고 대출을 줄여 비율을 지키려 할 수 있다. 소방용 물탱크는 화재 때 비워도 된다는 신뢰가 있어야 한다. 감독자는 완충재 사용을 허용하면서 회복 계획을 요구해야 한다.</w:t>
      </w:r>
      <w:r>
        <w:rPr>
          <w:rFonts w:ascii="KoPubWorld바탕체_Pro Light" w:hAnsi="KoPubWorld바탕체_Pro Light" w:eastAsia="KoPubWorld바탕체_Pro Light" w:cs="KoPubWorld바탕체_Pro Light"/>
          <w:sz w:val="14"/>
          <w:vertAlign w:val="superscript"/>
        </w:rPr>
        <w:t>117</w:t>
      </w:r>
    </w:p>
    <w:p>
      <w:pPr>
        <w:pStyle w:val="aff3"/>
        <w:spacing w:line="259" w:lineRule="auto"/>
      </w:pPr>
      <w:r>
        <w:rPr>
          <w:rFonts w:ascii="KoPubWorld바탕체_Pro Light" w:hAnsi="KoPubWorld바탕체_Pro Light" w:eastAsia="KoPubWorld바탕체_Pro Light" w:cs="KoPubWorld바탕체_Pro Light"/>
          <w:sz w:val="16"/>
        </w:rPr>
        <w:t>순안정자금조달비율, NSFR은 더 긴 시계를 본다. 바젤위원회는 2014년 기준을 확정해 1년의 기간에서 자산과 장부 밖 익스포저의 특성에 맞는 안정적 자금조달을 확보하도록 했다.</w:t>
      </w:r>
      <w:r>
        <w:rPr>
          <w:rFonts w:ascii="KoPubWorld바탕체_Pro Light" w:hAnsi="KoPubWorld바탕체_Pro Light" w:eastAsia="KoPubWorld바탕체_Pro Light" w:cs="KoPubWorld바탕체_Pro Light"/>
          <w:sz w:val="14"/>
          <w:vertAlign w:val="superscript"/>
        </w:rPr>
        <w:t>118</w:t>
      </w:r>
      <w:r>
        <w:rPr>
          <w:rFonts w:ascii="KoPubWorld바탕체_Pro Light" w:hAnsi="KoPubWorld바탕체_Pro Light" w:eastAsia="KoPubWorld바탕체_Pro Light" w:cs="KoPubWorld바탕체_Pro Light"/>
          <w:sz w:val="16"/>
        </w:rPr>
        <w:t xml:space="preserve"> 장기·비유동 자산을 하루짜리 도매자금으로 떠받치는 만기 불일치를 줄이려는 것이다.</w:t>
      </w:r>
    </w:p>
    <w:p>
      <w:pPr>
        <w:pStyle w:val="aff3"/>
        <w:spacing w:line="259" w:lineRule="auto"/>
      </w:pPr>
      <w:r>
        <w:rPr>
          <w:rFonts w:ascii="KoPubWorld바탕체_Pro Light" w:hAnsi="KoPubWorld바탕체_Pro Light" w:eastAsia="KoPubWorld바탕체_Pro Light" w:cs="KoPubWorld바탕체_Pro Light"/>
          <w:sz w:val="16"/>
        </w:rPr>
        <w:t>LCR과 NSFR은 위기의 두 순간을 나눈다. 첫 30일의 현금 공황과, 장기간 지속되는 자금조달 구조의 취약성이다. 다만 고유동성자산의 정의와 안정적 예금의 가정은 시장 상황에 따라 달라질 수 있다. 평상시 잘 거래되던 증권도 모두가 팔면 유동성이 사라지고, 디지털 뱅킹을 통한 예금 인출은 과거보다 빠를 수 있다.</w:t>
      </w:r>
      <w:r>
        <w:rPr>
          <w:rFonts w:ascii="KoPubWorld바탕체_Pro Light" w:hAnsi="KoPubWorld바탕체_Pro Light" w:eastAsia="KoPubWorld바탕체_Pro Light" w:cs="KoPubWorld바탕체_Pro Light"/>
          <w:sz w:val="14"/>
          <w:vertAlign w:val="superscript"/>
        </w:rPr>
        <w:t>117,118,119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숲을 보는 거시건전성</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전통적인 미시건전성 감독은 각 은행이 안전하면 시스템도 안전하다고 암묵적으로 가정했다. 그러나 모든 은행이 같은 자산을 보유하고 같은 시점에 매각하면 개별적으로 신중한 행동이 전체 가격을 무너뜨린다. 신용이 호황기에 팽창해 자산가격을 올리고, 높은 담보가치가 다시 대출을 늘리는 순환도 개별 은행 검사만으로 끊기 어렵다.</w:t>
      </w:r>
    </w:p>
    <w:p>
      <w:pPr>
        <w:pStyle w:val="aff3"/>
        <w:spacing w:line="259" w:lineRule="auto"/>
      </w:pPr>
      <w:r>
        <w:rPr>
          <w:rFonts w:ascii="KoPubWorld바탕체_Pro Light" w:hAnsi="KoPubWorld바탕체_Pro Light" w:eastAsia="KoPubWorld바탕체_Pro Light" w:cs="KoPubWorld바탕체_Pro Light"/>
          <w:sz w:val="16"/>
        </w:rPr>
        <w:t>거시건전성 정책은 금융 시스템 전체의 위험과 금융·실물경제 사이의 상호작용을 목표로 삼는다. 시간 차원에서는 위험이 호황기에 쌓여 불황기에 드러나는 과정을 보고, 구조 차원에서는 대형·연결 기관과 공통 익스포저, 핵심 시장 인프라를 본다.</w:t>
      </w:r>
      <w:r>
        <w:rPr>
          <w:rFonts w:ascii="KoPubWorld바탕체_Pro Light" w:hAnsi="KoPubWorld바탕체_Pro Light" w:eastAsia="KoPubWorld바탕체_Pro Light" w:cs="KoPubWorld바탕체_Pro Light"/>
          <w:sz w:val="14"/>
          <w:vertAlign w:val="superscript"/>
        </w:rPr>
        <w:t>120</w:t>
      </w:r>
    </w:p>
    <w:p>
      <w:pPr>
        <w:pStyle w:val="aff3"/>
        <w:spacing w:line="259" w:lineRule="auto"/>
      </w:pPr>
      <w:r>
        <w:rPr>
          <w:rFonts w:ascii="KoPubWorld바탕체_Pro Light" w:hAnsi="KoPubWorld바탕체_Pro Light" w:eastAsia="KoPubWorld바탕체_Pro Light" w:cs="KoPubWorld바탕체_Pro Light"/>
          <w:sz w:val="16"/>
        </w:rPr>
        <w:t>경기대응완충자본은 대표적 도구다. 바젤위원회는 과도한 총신용 증가가 시스템 위험을 키우는 시기에 보통주자본을 추가로 0~2.5퍼센트 쌓고, 침체에는 완충재를 풀 수 있게 했다.</w:t>
      </w:r>
      <w:r>
        <w:rPr>
          <w:rFonts w:ascii="KoPubWorld바탕체_Pro Light" w:hAnsi="KoPubWorld바탕체_Pro Light" w:eastAsia="KoPubWorld바탕체_Pro Light" w:cs="KoPubWorld바탕체_Pro Light"/>
          <w:sz w:val="14"/>
          <w:vertAlign w:val="superscript"/>
        </w:rPr>
        <w:t>121</w:t>
      </w:r>
      <w:r>
        <w:rPr>
          <w:rFonts w:ascii="KoPubWorld바탕체_Pro Light" w:hAnsi="KoPubWorld바탕체_Pro Light" w:eastAsia="KoPubWorld바탕체_Pro Light" w:cs="KoPubWorld바탕체_Pro Light"/>
          <w:sz w:val="16"/>
        </w:rPr>
        <w:t xml:space="preserve"> 호황의 이익 일부를 보존해 불황의 대출 축소를 줄이는 목적이다.</w:t>
      </w:r>
    </w:p>
    <w:p>
      <w:pPr>
        <w:pStyle w:val="aff3"/>
        <w:spacing w:line="259" w:lineRule="auto"/>
      </w:pPr>
      <w:r>
        <w:rPr>
          <w:rFonts w:ascii="KoPubWorld바탕체_Pro Light" w:hAnsi="KoPubWorld바탕체_Pro Light" w:eastAsia="KoPubWorld바탕체_Pro Light" w:cs="KoPubWorld바탕체_Pro Light"/>
          <w:sz w:val="16"/>
        </w:rPr>
        <w:t>주택담보인정비율과 총부채상환비율 같은 차주 기준, 부문별 자본가중치, 외화 유동성 한도도 상황에 따라 쓰인다. 자본 도구는 은행의 손실흡수력을 높이고, 차주 도구는 과도한 부채의 발생을 직접 제한하며, 유동성 도구는 만기와 통화 불일치를 줄인다. 어느 도구도 모든 위험에 맞지 않는다.</w:t>
      </w:r>
      <w:r>
        <w:rPr>
          <w:rFonts w:ascii="KoPubWorld바탕체_Pro Light" w:hAnsi="KoPubWorld바탕체_Pro Light" w:eastAsia="KoPubWorld바탕체_Pro Light" w:cs="KoPubWorld바탕체_Pro Light"/>
          <w:sz w:val="14"/>
          <w:vertAlign w:val="superscript"/>
        </w:rPr>
        <w:t>120</w:t>
      </w:r>
    </w:p>
    <w:p>
      <w:pPr>
        <w:pStyle w:val="aff3"/>
        <w:spacing w:line="259" w:lineRule="auto"/>
      </w:pPr>
      <w:r>
        <w:rPr>
          <w:rFonts w:ascii="KoPubWorld바탕체_Pro Light" w:hAnsi="KoPubWorld바탕체_Pro Light" w:eastAsia="KoPubWorld바탕체_Pro Light" w:cs="KoPubWorld바탕체_Pro Light"/>
          <w:sz w:val="16"/>
        </w:rPr>
        <w:t>정치경제의 어려움은 호황기에 나타난다. 집값이 오르고 부도율이 낮을 때 규제를 강화하면 당국은 성장을 막는다는 비판을 받는다. 위험이 눈에 보일 때는 이미 완충재를 쌓기 늦을 수 있다. 지표에 자동으로 반응하면 예측 가능성이 높아지지만 금융구조 변화를 놓칠 수 있고, 재량을 넓히면 로비와 낙관론에 흔들릴 수 있다. 거시건전성은 기술적 측정만큼 제도적 용기가 필요한 정책이다.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실패해도 계속되는 기능</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자본과 유동성을 아무리 높여도 금융회사의 실패를 완전히 없앨 수는 없다. 실패 확률을 0으로 만들려 하면 신용중개 비용이 지나치게 커지고 위험은 규제 밖으로 이동한다. 핵심은 실패가 예금·지급결제·시장기능의 붕괴로 이어지지 않게 만드는 것이다.</w:t>
      </w:r>
      <w:r>
        <w:rPr>
          <w:rFonts w:ascii="KoPubWorld바탕체_Pro Light" w:hAnsi="KoPubWorld바탕체_Pro Light" w:eastAsia="KoPubWorld바탕체_Pro Light" w:cs="KoPubWorld바탕체_Pro Light"/>
          <w:sz w:val="14"/>
          <w:vertAlign w:val="superscript"/>
        </w:rPr>
        <w:t>122</w:t>
      </w:r>
    </w:p>
    <w:p>
      <w:pPr>
        <w:pStyle w:val="aff3"/>
        <w:spacing w:line="259" w:lineRule="auto"/>
      </w:pPr>
      <w:r>
        <w:rPr>
          <w:rFonts w:ascii="KoPubWorld바탕체_Pro Light" w:hAnsi="KoPubWorld바탕체_Pro Light" w:eastAsia="KoPubWorld바탕체_Pro Light" w:cs="KoPubWorld바탕체_Pro Light"/>
          <w:sz w:val="16"/>
        </w:rPr>
        <w:t>금융안정위원회는 2011년 ‘금융기관의 효과적인 정리체계를 위한 핵심요소’를 채택했다. 정리당국이 주주와 무담보 채권자에게 손실을 부담시키고, 납세자에게 지급능력 지원 비용을 전가하지 않으면서 중요 기능을 계속할 권한을 가져야 한다는 국제 기준이다.</w:t>
      </w:r>
      <w:r>
        <w:rPr>
          <w:rFonts w:ascii="KoPubWorld바탕체_Pro Light" w:hAnsi="KoPubWorld바탕체_Pro Light" w:eastAsia="KoPubWorld바탕체_Pro Light" w:cs="KoPubWorld바탕체_Pro Light"/>
          <w:sz w:val="14"/>
          <w:vertAlign w:val="superscript"/>
        </w:rPr>
        <w:t>122</w:t>
      </w:r>
    </w:p>
    <w:p>
      <w:pPr>
        <w:pStyle w:val="aff3"/>
        <w:spacing w:line="259" w:lineRule="auto"/>
      </w:pPr>
      <w:r>
        <w:rPr>
          <w:rFonts w:ascii="KoPubWorld바탕체_Pro Light" w:hAnsi="KoPubWorld바탕체_Pro Light" w:eastAsia="KoPubWorld바탕체_Pro Light" w:cs="KoPubWorld바탕체_Pro Light"/>
          <w:sz w:val="16"/>
        </w:rPr>
        <w:t>정리계획은 평상시에 그룹의 법인구조, 핵심 서비스, 내부 자금과 정보시스템을 지도화한다. 위기 때는 좋은 자산과 기능을 가교기관으로 옮기고, 채무를 자본으로 전환하거나 일부 계약을 이전할 수 있어야 한다. 여러 나라에 걸친 그룹은 본국과 현지국이 손실과 유동성 공급을 미리 협의하지 않으면 국경별로 자산을 움켜쥐는 갈등이 생긴다.</w:t>
      </w:r>
      <w:r>
        <w:rPr>
          <w:rFonts w:ascii="KoPubWorld바탕체_Pro Light" w:hAnsi="KoPubWorld바탕체_Pro Light" w:eastAsia="KoPubWorld바탕체_Pro Light" w:cs="KoPubWorld바탕체_Pro Light"/>
          <w:sz w:val="14"/>
          <w:vertAlign w:val="superscript"/>
        </w:rPr>
        <w:t>122</w:t>
      </w:r>
    </w:p>
    <w:p>
      <w:pPr>
        <w:pStyle w:val="aff3"/>
        <w:spacing w:line="259" w:lineRule="auto"/>
      </w:pPr>
      <w:r>
        <w:rPr>
          <w:rFonts w:ascii="KoPubWorld바탕체_Pro Light" w:hAnsi="KoPubWorld바탕체_Pro Light" w:eastAsia="KoPubWorld바탕체_Pro Light" w:cs="KoPubWorld바탕체_Pro Light"/>
          <w:sz w:val="16"/>
        </w:rPr>
        <w:t>FSB는 2015년 글로벌 시스템 중요 은행이 정리 때 손실을 흡수하고 자본을 재구성할 충분한 총손실흡수력, TLAC를 보유하도록 원칙과 조건을 발표했다.</w:t>
      </w:r>
      <w:r>
        <w:rPr>
          <w:rFonts w:ascii="KoPubWorld바탕체_Pro Light" w:hAnsi="KoPubWorld바탕체_Pro Light" w:eastAsia="KoPubWorld바탕체_Pro Light" w:cs="KoPubWorld바탕체_Pro Light"/>
          <w:sz w:val="14"/>
          <w:vertAlign w:val="superscript"/>
        </w:rPr>
        <w:t>123</w:t>
      </w:r>
      <w:r>
        <w:rPr>
          <w:rFonts w:ascii="KoPubWorld바탕체_Pro Light" w:hAnsi="KoPubWorld바탕체_Pro Light" w:eastAsia="KoPubWorld바탕체_Pro Light" w:cs="KoPubWorld바탕체_Pro Light"/>
          <w:sz w:val="16"/>
        </w:rPr>
        <w:t xml:space="preserve"> 보통주가 소진된 뒤에도 특정 장기채무를 감액하거나 주식으로 전환해 핵심 은행을 다시 자본화하려는 장치다.</w:t>
      </w:r>
    </w:p>
    <w:p>
      <w:pPr>
        <w:pStyle w:val="aff3"/>
        <w:spacing w:line="259" w:lineRule="auto"/>
      </w:pPr>
      <w:r>
        <w:rPr>
          <w:rFonts w:ascii="KoPubWorld바탕체_Pro Light" w:hAnsi="KoPubWorld바탕체_Pro Light" w:eastAsia="KoPubWorld바탕체_Pro Light" w:cs="KoPubWorld바탕체_Pro Light"/>
          <w:sz w:val="16"/>
        </w:rPr>
        <w:t>베일인은 구제금융과 달리 채권자에게 손실을 지운다. 그러나 위기 때 손실흡수채권을 다른 은행이나 취약한 투자자가 보유하면 전염이 생길 수 있다. 개인투자자에게 안전한 예금처럼 판매됐다면 정치적으로 손실을 부과하기도 어렵다. 채권의 보유구조와 판매 규칙, 명확한 우선순위가 정리 가능성의 일부다.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모형의 바닥을 다시 놓다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 II의 내부모형은 위험 민감도를 높였지만 비슷한 자산에 은행마다 크게 다른 위험가중치를 산출할 수 있었다. 차이가 실제 포트폴리오와 데이터의 차이인지, 낙관적 가정과 규제 차익인지 외부에서 판단하기 어려웠다. 공통 기준의 비교 가능성이 약해졌다.</w:t>
      </w:r>
      <w:r>
        <w:rPr>
          <w:rFonts w:ascii="KoPubWorld바탕체_Pro Light" w:hAnsi="KoPubWorld바탕체_Pro Light" w:eastAsia="KoPubWorld바탕체_Pro Light" w:cs="KoPubWorld바탕체_Pro Light"/>
          <w:sz w:val="14"/>
          <w:vertAlign w:val="superscript"/>
        </w:rPr>
        <w:t>124</w:t>
      </w:r>
    </w:p>
    <w:p>
      <w:pPr>
        <w:pStyle w:val="aff3"/>
        <w:spacing w:line="259" w:lineRule="auto"/>
      </w:pPr>
      <w:r>
        <w:rPr>
          <w:rFonts w:ascii="KoPubWorld바탕체_Pro Light" w:hAnsi="KoPubWorld바탕체_Pro Light" w:eastAsia="KoPubWorld바탕체_Pro Light" w:cs="KoPubWorld바탕체_Pro Light"/>
          <w:sz w:val="16"/>
        </w:rPr>
        <w:t>바젤위원회가 2017년 확정한 최종 개혁은 표준방법을 고치고 내부모형 사용을 제한하며 운영위험 계산을 단순화했다. 특히 내부모형으로 계산한 위험가중자산이 표준방법 결과의 72.5퍼센트보다 낮아지지 않도록 산출하한을 두었다.</w:t>
      </w:r>
      <w:r>
        <w:rPr>
          <w:rFonts w:ascii="KoPubWorld바탕체_Pro Light" w:hAnsi="KoPubWorld바탕체_Pro Light" w:eastAsia="KoPubWorld바탕체_Pro Light" w:cs="KoPubWorld바탕체_Pro Light"/>
          <w:sz w:val="14"/>
          <w:vertAlign w:val="superscript"/>
        </w:rPr>
        <w:t>124</w:t>
      </w:r>
    </w:p>
    <w:p>
      <w:pPr>
        <w:pStyle w:val="aff3"/>
        <w:spacing w:line="259" w:lineRule="auto"/>
      </w:pPr>
      <w:r>
        <w:rPr>
          <w:rFonts w:ascii="KoPubWorld바탕체_Pro Light" w:hAnsi="KoPubWorld바탕체_Pro Light" w:eastAsia="KoPubWorld바탕체_Pro Light" w:cs="KoPubWorld바탕체_Pro Light"/>
          <w:sz w:val="16"/>
        </w:rPr>
        <w:t>산출하한은 표준식과 내부모형의 타협이다. 은행별 정보와 위험관리 능력을 인정하되, 모형이 규제자본을 지나치게 낮추는 데는 공통 바닥을 둔다. 위험 민감도와 비교 가능성은 어느 하나를 최대화할 수 없는 목표다. 하한이 너무 높으면 모형의 의미가 줄고, 너무 낮으면 은행 간 차이를 통제하지 못한다.</w:t>
      </w:r>
      <w:r>
        <w:rPr>
          <w:rFonts w:ascii="KoPubWorld바탕체_Pro Light" w:hAnsi="KoPubWorld바탕체_Pro Light" w:eastAsia="KoPubWorld바탕체_Pro Light" w:cs="KoPubWorld바탕체_Pro Light"/>
          <w:sz w:val="14"/>
          <w:vertAlign w:val="superscript"/>
        </w:rPr>
        <w:t>124</w:t>
      </w:r>
    </w:p>
    <w:p>
      <w:pPr>
        <w:pStyle w:val="aff3"/>
        <w:spacing w:line="259" w:lineRule="auto"/>
      </w:pPr>
      <w:r>
        <w:rPr>
          <w:rFonts w:ascii="KoPubWorld바탕체_Pro Light" w:hAnsi="KoPubWorld바탕체_Pro Light" w:eastAsia="KoPubWorld바탕체_Pro Light" w:cs="KoPubWorld바탕체_Pro Light"/>
          <w:sz w:val="16"/>
        </w:rPr>
        <w:t>국제 합의와 실제 시행 사이에는 긴 시간이 걸렸다. 바젤위원회의 2025년 9월 말 점검에 따르면 최종 개혁의 신용·운영위험과 산출하한은 약 80퍼센트의 회원 관할에서 효력이 발생했지만, 개정 시장위험 기준은 약 40퍼센트에서 시행 중이었다.</w:t>
      </w:r>
      <w:r>
        <w:rPr>
          <w:rFonts w:ascii="KoPubWorld바탕체_Pro Light" w:hAnsi="KoPubWorld바탕체_Pro Light" w:eastAsia="KoPubWorld바탕체_Pro Light" w:cs="KoPubWorld바탕체_Pro Light"/>
          <w:sz w:val="14"/>
          <w:vertAlign w:val="superscript"/>
        </w:rPr>
        <w:t>125</w:t>
      </w:r>
      <w:r>
        <w:rPr>
          <w:rFonts w:ascii="KoPubWorld바탕체_Pro Light" w:hAnsi="KoPubWorld바탕체_Pro Light" w:eastAsia="KoPubWorld바탕체_Pro Light" w:cs="KoPubWorld바탕체_Pro Light"/>
          <w:sz w:val="16"/>
        </w:rPr>
        <w:t xml:space="preserve"> 같은 국제 기준도 국내 입법과 산업 준비, 다른 금융센터와의 경쟁을 거치며 속도가 달라진다.</w:t>
      </w:r>
    </w:p>
    <w:p>
      <w:pPr>
        <w:pStyle w:val="aff3"/>
        <w:spacing w:line="259" w:lineRule="auto"/>
      </w:pPr>
      <w:r>
        <w:rPr>
          <w:rFonts w:ascii="KoPubWorld바탕체_Pro Light" w:hAnsi="KoPubWorld바탕체_Pro Light" w:eastAsia="KoPubWorld바탕체_Pro Light" w:cs="KoPubWorld바탕체_Pro Light"/>
          <w:sz w:val="16"/>
        </w:rPr>
        <w:t>규제의 지연은 단순한 행정 문제가 아니다. 한 나라가 먼저 높은 기준을 적용하면 자국 은행의 경쟁력을 우려하고, 모두가 다른 나라를 기다리면 공통 바닥이 늦어진다. 반면 서둘러 시행하면 데이터와 시스템이 준비되지 않아 형식적 준수에 그칠 수 있다. 국제 금융규제는 위험과의 싸움인 동시에 동시 행동을 조직하는 일이다.</w:t>
      </w:r>
      <w:r>
        <w:rPr>
          <w:rFonts w:ascii="KoPubWorld바탕체_Pro Light" w:hAnsi="KoPubWorld바탕체_Pro Light" w:eastAsia="KoPubWorld바탕체_Pro Light" w:cs="KoPubWorld바탕체_Pro Light"/>
          <w:sz w:val="14"/>
          <w:vertAlign w:val="superscript"/>
        </w:rPr>
        <w:t>125</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2023년이 던진 새 질문</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2023년 3월 은행 불안은 바젤 III 이후의 체계도 새로운 전달 경로에 노출되어 있음을 보여주었다. 바젤위원회는 이 사건들을 세계금융위기 이후 가장 큰 시스템 전반의 은행 스트레스로 평가하면서, 개별 은행의 사업모델과 위험관리 실패, 감독 문제, 빠른 예금 인출과 신뢰 상실 등 원인이 서로 달랐다고 정리했다.</w:t>
      </w:r>
      <w:r>
        <w:rPr>
          <w:rFonts w:ascii="KoPubWorld바탕체_Pro Light" w:hAnsi="KoPubWorld바탕체_Pro Light" w:eastAsia="KoPubWorld바탕체_Pro Light" w:cs="KoPubWorld바탕체_Pro Light"/>
          <w:sz w:val="14"/>
          <w:vertAlign w:val="superscript"/>
        </w:rPr>
        <w:t>119</w:t>
      </w:r>
    </w:p>
    <w:p>
      <w:pPr>
        <w:pStyle w:val="aff3"/>
        <w:spacing w:line="259" w:lineRule="auto"/>
      </w:pPr>
      <w:r>
        <w:rPr>
          <w:rFonts w:ascii="KoPubWorld바탕체_Pro Light" w:hAnsi="KoPubWorld바탕체_Pro Light" w:eastAsia="KoPubWorld바탕체_Pro Light" w:cs="KoPubWorld바탕체_Pro Light"/>
          <w:sz w:val="16"/>
        </w:rPr>
        <w:t>미국 연준의 실리콘밸리은행 사후검토는 은행 경영진이 금리와 유동성 위험을 관리하지 못했고, 감독자가 취약성을 충분한 강도와 속도로 다루지 못했으며, 규제 기준의 맞춤화와 감독 관행의 변화도 효과적인 감독을 저해했다고 결론 내렸다.</w:t>
      </w:r>
      <w:r>
        <w:rPr>
          <w:rFonts w:ascii="KoPubWorld바탕체_Pro Light" w:hAnsi="KoPubWorld바탕체_Pro Light" w:eastAsia="KoPubWorld바탕체_Pro Light" w:cs="KoPubWorld바탕체_Pro Light"/>
          <w:sz w:val="14"/>
          <w:vertAlign w:val="superscript"/>
        </w:rPr>
        <w:t>126</w:t>
      </w:r>
      <w:r>
        <w:rPr>
          <w:rFonts w:ascii="KoPubWorld바탕체_Pro Light" w:hAnsi="KoPubWorld바탕체_Pro Light" w:eastAsia="KoPubWorld바탕체_Pro Light" w:cs="KoPubWorld바탕체_Pro Light"/>
          <w:sz w:val="16"/>
        </w:rPr>
        <w:t xml:space="preserve"> 장기 증권의 미실현 손실과 집중된 무보험예금이 결합했고, 온라인 정보와 디지털 이체는 인출을 빠르게 만들었다.</w:t>
      </w:r>
    </w:p>
    <w:p>
      <w:pPr>
        <w:pStyle w:val="aff3"/>
        <w:spacing w:line="259" w:lineRule="auto"/>
      </w:pPr>
      <w:r>
        <w:rPr>
          <w:rFonts w:ascii="KoPubWorld바탕체_Pro Light" w:hAnsi="KoPubWorld바탕체_Pro Light" w:eastAsia="KoPubWorld바탕체_Pro Light" w:cs="KoPubWorld바탕체_Pro Light"/>
          <w:sz w:val="16"/>
        </w:rPr>
        <w:t>미국 당국은 2023년 3월 12일 시스템위험 예외를 적용해 실패한 두 은행의 모든 예금자를 보호하되 주주와 일정한 무담보 채권자는 보호하지 않고, 예금보험기금의 손실은 은행권 특별분담금으로 회수한다고 발표했다.</w:t>
      </w:r>
      <w:r>
        <w:rPr>
          <w:rFonts w:ascii="KoPubWorld바탕체_Pro Light" w:hAnsi="KoPubWorld바탕체_Pro Light" w:eastAsia="KoPubWorld바탕체_Pro Light" w:cs="KoPubWorld바탕체_Pro Light"/>
          <w:sz w:val="14"/>
          <w:vertAlign w:val="superscript"/>
        </w:rPr>
        <w:t>127</w:t>
      </w:r>
      <w:r>
        <w:rPr>
          <w:rFonts w:ascii="KoPubWorld바탕체_Pro Light" w:hAnsi="KoPubWorld바탕체_Pro Light" w:eastAsia="KoPubWorld바탕체_Pro Light" w:cs="KoPubWorld바탕체_Pro Light"/>
          <w:sz w:val="16"/>
        </w:rPr>
        <w:t xml:space="preserve"> 전염을 막기 위한 예금보호와 시장규율 사이의 오래된 긴장이 다시 나타났다.</w:t>
      </w:r>
    </w:p>
    <w:p>
      <w:pPr>
        <w:pStyle w:val="aff3"/>
        <w:spacing w:line="259" w:lineRule="auto"/>
      </w:pPr>
      <w:r>
        <w:rPr>
          <w:rFonts w:ascii="KoPubWorld바탕체_Pro Light" w:hAnsi="KoPubWorld바탕체_Pro Light" w:eastAsia="KoPubWorld바탕체_Pro Light" w:cs="KoPubWorld바탕체_Pro Light"/>
          <w:sz w:val="16"/>
        </w:rPr>
        <w:t>같은 달 위기를 맞은 크레디트스위스에 대해 스위스 금융감독청은 당시 규제상 자본과 유동성 요건을 충족했지만 반복된 스캔들과 손실로 신뢰가 훼손되었고 빠른 자금 유출을 견디지 못했다고 사후 평가했다.</w:t>
      </w:r>
      <w:r>
        <w:rPr>
          <w:rFonts w:ascii="KoPubWorld바탕체_Pro Light" w:hAnsi="KoPubWorld바탕체_Pro Light" w:eastAsia="KoPubWorld바탕체_Pro Light" w:cs="KoPubWorld바탕체_Pro Light"/>
          <w:sz w:val="14"/>
          <w:vertAlign w:val="superscript"/>
        </w:rPr>
        <w:t>128</w:t>
      </w:r>
      <w:r>
        <w:rPr>
          <w:rFonts w:ascii="KoPubWorld바탕체_Pro Light" w:hAnsi="KoPubWorld바탕체_Pro Light" w:eastAsia="KoPubWorld바탕체_Pro Light" w:cs="KoPubWorld바탕체_Pro Light"/>
          <w:sz w:val="16"/>
        </w:rPr>
        <w:t xml:space="preserve"> 비율 충족과 생존 가능성이 같지 않다는 경고였다. 고객의 신뢰, 담보의 실제 사용 가능성, 그룹 구조와 정리계획은 숫자 바깥에 남아 있었다.</w:t>
      </w:r>
    </w:p>
    <w:p>
      <w:pPr>
        <w:pStyle w:val="aff3"/>
        <w:spacing w:line="259" w:lineRule="auto"/>
      </w:pPr>
      <w:r>
        <w:rPr>
          <w:rFonts w:ascii="KoPubWorld바탕체_Pro Light" w:hAnsi="KoPubWorld바탕체_Pro Light" w:eastAsia="KoPubWorld바탕체_Pro Light" w:cs="KoPubWorld바탕체_Pro Light"/>
          <w:sz w:val="16"/>
        </w:rPr>
        <w:t>2023년 사건이 바젤 III가 실패했다는 뜻인지에는 논쟁이 있다. 한쪽은 강화된 자본·유동성 규제가 대형은행의 충격 흡수력을 높였고 시스템 전반의 붕괴를 막았다고 본다. 다른 쪽은 일부 은행에 대한 완화와 국채의 금리위험 처리, 예금 유출 가정이 새로운 현실을 충분히 반영하지 못했다고 본다. 규칙의 존재와 적용 범위, 감독의 실행을 나눠 평가해야 한다.</w:t>
      </w:r>
      <w:r>
        <w:rPr>
          <w:rFonts w:ascii="KoPubWorld바탕체_Pro Light" w:hAnsi="KoPubWorld바탕체_Pro Light" w:eastAsia="KoPubWorld바탕체_Pro Light" w:cs="KoPubWorld바탕체_Pro Light"/>
          <w:sz w:val="14"/>
          <w:vertAlign w:val="superscript"/>
        </w:rPr>
        <w:t>119,126</w:t>
      </w:r>
    </w:p>
    <w:p>
      <w:pPr>
        <w:pStyle w:val="aff3"/>
        <w:spacing w:line="259" w:lineRule="auto"/>
      </w:pPr>
      <w:r>
        <w:rPr>
          <w:rFonts w:ascii="KoPubWorld바탕체_Pro Light" w:hAnsi="KoPubWorld바탕체_Pro Light" w:eastAsia="KoPubWorld바탕체_Pro Light" w:cs="KoPubWorld바탕체_Pro Light"/>
          <w:sz w:val="16"/>
        </w:rPr>
        <w:t>바젤 III와 거시건전성 체계는 2008년의 교훈을 여러 층의 방어선으로 바꾸었다. 더 좋은 자본은 손실을 받고, 레버리지비율은 모형 오류를 막으며, 유동성비율은 시간을 사고, 경기대응완충자본은 호황의 이익을 보존한다. 정리계획과 TLAC는 실패의 비용을 납세자보다 투자자에게 돌리려 한다.</w:t>
      </w:r>
      <w:r>
        <w:rPr>
          <w:rFonts w:ascii="KoPubWorld바탕체_Pro Light" w:hAnsi="KoPubWorld바탕체_Pro Light" w:eastAsia="KoPubWorld바탕체_Pro Light" w:cs="KoPubWorld바탕체_Pro Light"/>
          <w:sz w:val="14"/>
          <w:vertAlign w:val="superscript"/>
        </w:rPr>
        <w:t>116,121,123</w:t>
      </w:r>
    </w:p>
    <w:p>
      <w:pPr>
        <w:pStyle w:val="aff3"/>
        <w:spacing w:line="259" w:lineRule="auto"/>
      </w:pPr>
      <w:r>
        <w:rPr>
          <w:rFonts w:ascii="KoPubWorld바탕체_Pro Light" w:hAnsi="KoPubWorld바탕체_Pro Light" w:eastAsia="KoPubWorld바탕체_Pro Light" w:cs="KoPubWorld바탕체_Pro Light"/>
          <w:sz w:val="16"/>
        </w:rPr>
        <w:t>그럼에도 규제는 위험을 보존법칙처럼 다른 곳으로 밀어낼 수 있다. 은행이 안전해지면 신용은 사모펀드, 머니마켓펀드, 핀테크와 암호자산, 국경 밖 기구로 이동할 수 있다. 은행 규제의 성공이 비은행 감독의 과제를 키운다. 기능을 따라가면 관할이 넓어지고, 관할을 고정하면 기능이 밖으로 빠져나간다.</w:t>
      </w:r>
      <w:r>
        <w:rPr>
          <w:rFonts w:ascii="KoPubWorld바탕체_Pro Light" w:hAnsi="KoPubWorld바탕체_Pro Light" w:eastAsia="KoPubWorld바탕체_Pro Light" w:cs="KoPubWorld바탕체_Pro Light"/>
          <w:sz w:val="14"/>
          <w:vertAlign w:val="superscript"/>
        </w:rPr>
        <w:t>97</w:t>
      </w:r>
    </w:p>
    <w:p>
      <w:pPr>
        <w:pStyle w:val="aff3"/>
        <w:spacing w:line="259" w:lineRule="auto"/>
      </w:pPr>
      <w:r>
        <w:rPr>
          <w:rFonts w:ascii="KoPubWorld바탕체_Pro Light" w:hAnsi="KoPubWorld바탕체_Pro Light" w:eastAsia="KoPubWorld바탕체_Pro Light" w:cs="KoPubWorld바탕체_Pro Light"/>
          <w:sz w:val="16"/>
        </w:rPr>
        <w:t>다음 위기를 정확히 예측하는 규칙은 없다. 가능한 것은 손실을 흡수할 여유, 유동성을 쓸 권한, 연결을 볼 정보, 실패를 처리할 절차를 미리 준비하는 일이다. 그리고 충격이 오면 기존 규칙을 지켰는지만 묻지 않고 규칙이 보지 못한 행동을 찾아야 한다.</w:t>
      </w:r>
    </w:p>
    <w:p>
      <w:pPr>
        <w:pStyle w:val="aff3"/>
        <w:spacing w:line="259" w:lineRule="auto"/>
      </w:pPr>
      <w:r>
        <w:rPr>
          <w:rFonts w:ascii="KoPubWorld바탕체_Pro Light" w:hAnsi="KoPubWorld바탕체_Pro Light" w:eastAsia="KoPubWorld바탕체_Pro Light" w:cs="KoPubWorld바탕체_Pro Light"/>
          <w:sz w:val="16"/>
        </w:rPr>
        <w:t>금융규제의 역사는 위기 뒤에 단단해지고 평온 속에서 다시 느슨해지는 진자처럼 보인다. 그러나 매번 같은 자리로 돌아오는 것은 아니다. 예금보험, 국제 자본기준, 소비자 보호, 거시건전성, 정리제도라는 층이 남아 다음 선택의 출발점을 바꾼다. 작은 역사가 주는 마지막 교훈은 겸손하다. 규제는 위기를 끝내는 법전이 아니라, 다음 위기를 덜 파괴적으로 맞기 위한 계속되는 공사다.</w:t>
      </w:r>
      <w:r>
        <w:rPr>
          <w:rFonts w:ascii="KoPubWorld바탕체_Pro Light" w:hAnsi="KoPubWorld바탕체_Pro Light" w:eastAsia="KoPubWorld바탕체_Pro Light" w:cs="KoPubWorld바탕체_Pro Light"/>
          <w:sz w:val="14"/>
          <w:vertAlign w:val="superscript"/>
        </w:rPr>
        <w:t>116,122</w:t>
      </w:r>
    </w:p>
    <w:p>
      <w:r>
        <w:br w:type="page"/>
      </w:r>
    </w:p>
    <w:p>
      <w:pPr>
        <w:spacing w:before="1720" w:after="0"/>
      </w:pPr>
    </w:p>
    <w:p>
      <w:pPr>
        <w:pStyle w:val="aff9"/>
        <w:jc w:val="center"/>
      </w:pPr>
      <w:r>
        <w:rPr>
          <w:rFonts w:ascii="Noto Sans CJK KR" w:hAnsi="Noto Sans CJK KR" w:eastAsia="Noto Sans CJK KR" w:cs="Noto Sans CJK KR"/>
          <w:b/>
          <w:sz w:val="22"/>
        </w:rPr>
        <w:t>4부</w:t>
      </w:r>
    </w:p>
    <w:p>
      <w:pPr>
        <w:pStyle w:val="affa"/>
        <w:jc w:val="center"/>
      </w:pPr>
      <w:r>
        <w:rPr>
          <w:rFonts w:ascii="KoPubWorld바탕체_Pro Bold" w:hAnsi="KoPubWorld바탕체_Pro Bold" w:eastAsia="KoPubWorld바탕체_Pro Bold" w:cs="KoPubWorld바탕체_Pro Bold"/>
          <w:b/>
          <w:sz w:val="36"/>
        </w:rPr>
        <w:t>한국 금융규제의 경로</w:t>
      </w:r>
    </w:p>
    <w:p>
      <w:pPr>
        <w:pStyle w:val="affb"/>
        <w:jc w:val="center"/>
      </w:pPr>
      <w:r>
        <w:rPr>
          <w:rFonts w:ascii="KoPubWorld바탕체_Pro Light" w:hAnsi="KoPubWorld바탕체_Pro Light" w:eastAsia="KoPubWorld바탕체_Pro Light" w:cs="KoPubWorld바탕체_Pro Light"/>
          <w:sz w:val="19"/>
        </w:rPr>
        <w:t>한국의 금융규제는 국가가 신용을 배분하던 체제에서 시장의 실패를 감시하는 체제로 이동했다.</w:t>
      </w:r>
    </w:p>
    <w:p>
      <w:r>
        <w:br w:type="page"/>
      </w:r>
    </w:p>
    <w:p>
      <w:pPr>
        <w:spacing w:before="480" w:after="0"/>
      </w:pPr>
    </w:p>
    <w:p>
      <w:pPr>
        <w:keepNext/>
        <w:jc w:val="center"/>
      </w:pPr>
      <w:r>
        <w:drawing>
          <wp:inline xmlns:a="http://schemas.openxmlformats.org/drawingml/2006/main" xmlns:pic="http://schemas.openxmlformats.org/drawingml/2006/picture">
            <wp:extent cx="3941063" cy="2218026"/>
            <wp:docPr id="13" name="Picture 13" descr="한국 금융규제의 경로" title="한국 금융규제의 경로"/>
            <wp:cNvGraphicFramePr>
              <a:graphicFrameLocks noChangeAspect="1"/>
            </wp:cNvGraphicFramePr>
            <a:graphic>
              <a:graphicData uri="http://schemas.openxmlformats.org/drawingml/2006/picture">
                <pic:pic>
                  <pic:nvPicPr>
                    <pic:cNvPr id="0" name="part4_korea_development_gray_q86.jpg"/>
                    <pic:cNvPicPr/>
                  </pic:nvPicPr>
                  <pic:blipFill>
                    <a:blip r:embed="rId50"/>
                    <a:stretch>
                      <a:fillRect/>
                    </a:stretch>
                  </pic:blipFill>
                  <pic:spPr>
                    <a:xfrm>
                      <a:off x="0" y="0"/>
                      <a:ext cx="3941063" cy="2218026"/>
                    </a:xfrm>
                    <a:prstGeom prst="rect"/>
                  </pic:spPr>
                </pic:pic>
              </a:graphicData>
            </a:graphic>
          </wp:inline>
        </w:drawing>
      </w:r>
    </w:p>
    <w:p>
      <w:pPr>
        <w:spacing w:before="140" w:after="0"/>
      </w:pPr>
    </w:p>
    <w:p>
      <w:pPr>
        <w:pStyle w:val="affb"/>
        <w:jc w:val="center"/>
      </w:pPr>
      <w:r>
        <w:rPr>
          <w:rFonts w:ascii="KoPubWorld바탕체_Pro Light" w:hAnsi="KoPubWorld바탕체_Pro Light" w:eastAsia="KoPubWorld바탕체_Pro Light" w:cs="KoPubWorld바탕체_Pro Light"/>
          <w:sz w:val="19"/>
        </w:rPr>
        <w:t>한국 금융규제의 경로</w:t>
      </w:r>
    </w:p>
    <w:p>
      <w:r>
        <w:br w:type="page"/>
      </w:r>
    </w:p>
    <w:p>
      <w:pPr>
        <w:pStyle w:val="aff2"/>
        <w:spacing w:before="440"/>
        <w:jc w:val="center"/>
      </w:pPr>
      <w:r>
        <w:rPr>
          <w:rFonts w:ascii="KoPubWorld바탕체_Pro Bold" w:hAnsi="KoPubWorld바탕체_Pro Bold" w:eastAsia="KoPubWorld바탕체_Pro Bold" w:cs="KoPubWorld바탕체_Pro Bold"/>
          <w:b/>
          <w:sz w:val="24"/>
        </w:rPr>
        <w:t>Chapter. 22</w:t>
      </w:r>
    </w:p>
    <w:p>
      <w:pPr>
        <w:pStyle w:val="aff1"/>
        <w:jc w:val="center"/>
      </w:pPr>
      <w:r>
        <w:rPr>
          <w:rFonts w:ascii="KoPubWorld바탕체_Pro Bold" w:hAnsi="KoPubWorld바탕체_Pro Bold" w:eastAsia="KoPubWorld바탕체_Pro Bold" w:cs="KoPubWorld바탕체_Pro Bold"/>
          <w:b/>
          <w:sz w:val="28"/>
        </w:rPr>
        <w:t>장부와 전당포의 나라 - 조선의 화폐·고리·환곡·전당 규율</w:t>
      </w:r>
    </w:p>
    <w:p>
      <w:pPr>
        <w:spacing w:before="60" w:after="0"/>
      </w:pP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경복궁을 다시 짓던 시절, 서울의 저잣거리에는 전에 보지 못한 크고 무거운 동전이 돌기 시작했다. 한 닢을 엽전 백 닢으로 친다는 당백전이었다. 그러나 구리의 실제 가치는 보통 엽전 몇 닢 몫에 지나지 않았다. 나라가 액면을 정했지만 장터는 금속의 양과 다음 거래의 불안을 함께 셌다. 좋은 상평통보는 자취를 감추고 물가는 뛰었다. 정부는 결국 1868년 당백전의 통용을 금지했다.</w:t>
      </w:r>
      <w:r>
        <w:rPr>
          <w:rFonts w:ascii="KoPubWorld바탕체_Pro Light" w:hAnsi="KoPubWorld바탕체_Pro Light" w:eastAsia="KoPubWorld바탕체_Pro Light" w:cs="KoPubWorld바탕체_Pro Light"/>
          <w:sz w:val="14"/>
          <w:vertAlign w:val="superscript"/>
        </w:rPr>
        <w:t>129</w:t>
      </w:r>
      <w:r>
        <w:rPr>
          <w:rFonts w:ascii="KoPubWorld바탕체_Pro Light" w:hAnsi="KoPubWorld바탕체_Pro Light" w:eastAsia="KoPubWorld바탕체_Pro Light" w:cs="KoPubWorld바탕체_Pro Light"/>
          <w:sz w:val="16"/>
        </w:rPr>
        <w:t xml:space="preserve"> 화폐 발행은 왕의 권한이었지만, 그 화폐를 받아 줄 것인지는 수많은 거래자가 매일 내리는 판정이었다.</w:t>
      </w:r>
    </w:p>
    <w:p>
      <w:pPr>
        <w:pStyle w:val="aff3"/>
        <w:spacing w:line="259" w:lineRule="auto"/>
      </w:pPr>
      <w:r>
        <w:rPr>
          <w:rFonts w:ascii="KoPubWorld바탕체_Pro Light" w:hAnsi="KoPubWorld바탕체_Pro Light" w:eastAsia="KoPubWorld바탕체_Pro Light" w:cs="KoPubWorld바탕체_Pro Light"/>
          <w:sz w:val="16"/>
        </w:rPr>
        <w:t>이 장면은 조선 금융의 낙후를 보여 주는 일화가 아니다. 오히려 금융규제의 가장 오래된 질문을 선명하게 드러낸다. 국가는 무엇을 돈이라고 선언할 수 있는가. 빚이 불어나는 속도에는 어디에서 선을 그어야 하는가. 흉년에 곡식을 빌린 백성을 구제하는 제도는 언제 세금 징수 장치로 바뀌는가. 담보물을 맡긴 사람과 돈을 내준 사람 사이의 손실은 누가 감당하는가. 은행이라는 이름이 널리 쓰이기 전에도 이 질문들은 화폐, 장부, 창고와 전당물 속에 이미 들어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돈이 하나가 아니었던 경제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조선의 일상에서 가치를 재는 자는 하나가 아니었다. 쌀과 베는 먹고 입을 수 있는 물건인 동시에 세금과 품삯을 헤아리는 기준이었고, 은은 무역과 큰 거래에서 무게로 달아 쓰였다. 국가가 만든 저화와 동전도 있었지만 왕의 명령만으로 전국의 습관을 단번에 바꾸지는 못했다. 돈은 물건이면서 관계였다. 어느 고을에서 무엇을 세금으로 받고, 어느 장터에서 어떤 매개를 받아 주며, 먼 훗날 같은 가치로 돌려받을 수 있는지에 관한 집단적 예상이 곧 화폐의 힘이었다.</w:t>
      </w:r>
    </w:p>
    <w:p>
      <w:pPr>
        <w:pStyle w:val="aff3"/>
        <w:spacing w:line="259" w:lineRule="auto"/>
      </w:pPr>
      <w:r>
        <w:rPr>
          <w:rFonts w:ascii="KoPubWorld바탕체_Pro Light" w:hAnsi="KoPubWorld바탕체_Pro Light" w:eastAsia="KoPubWorld바탕체_Pro Light" w:cs="KoPubWorld바탕체_Pro Light"/>
          <w:sz w:val="16"/>
        </w:rPr>
        <w:t>1678년 발행된 상평통보는 200년 넘게 널리 유통되며 전 계층과 지역을 잇는 법화가 되었다. 국가는 세입과 지출을 점차 동전으로 처리했고, 민간은 그것을 교환·계산·저장의 수단으로 받아들였다.</w:t>
      </w:r>
      <w:r>
        <w:rPr>
          <w:rFonts w:ascii="KoPubWorld바탕체_Pro Light" w:hAnsi="KoPubWorld바탕체_Pro Light" w:eastAsia="KoPubWorld바탕체_Pro Light" w:cs="KoPubWorld바탕체_Pro Light"/>
          <w:sz w:val="14"/>
          <w:vertAlign w:val="superscript"/>
        </w:rPr>
        <w:t>130</w:t>
      </w:r>
      <w:r>
        <w:rPr>
          <w:rFonts w:ascii="KoPubWorld바탕체_Pro Light" w:hAnsi="KoPubWorld바탕체_Pro Light" w:eastAsia="KoPubWorld바탕체_Pro Light" w:cs="KoPubWorld바탕체_Pro Light"/>
          <w:sz w:val="16"/>
        </w:rPr>
        <w:t xml:space="preserve"> 여기서 ‘법화’는 법령 한 줄로 완성된 지위가 아니었다. 세금 납부라는 국가 수요, 반복 거래라는 민간의 학습, 일정한 무게와 주조 표지를 확인하는 감시가 겹쳐져야 했다. 뒷면에 주조 관청과 여러 부호를 새긴 관행은 위조와 남주를 억제하고 책임의 흔적을 남기는 기술이기도 했다.</w:t>
      </w:r>
      <w:r>
        <w:rPr>
          <w:rFonts w:ascii="KoPubWorld바탕체_Pro Light" w:hAnsi="KoPubWorld바탕체_Pro Light" w:eastAsia="KoPubWorld바탕체_Pro Light" w:cs="KoPubWorld바탕체_Pro Light"/>
          <w:sz w:val="14"/>
          <w:vertAlign w:val="superscript"/>
        </w:rPr>
        <w:t>131</w:t>
      </w:r>
    </w:p>
    <w:p>
      <w:pPr>
        <w:pStyle w:val="aff3"/>
        <w:spacing w:line="259" w:lineRule="auto"/>
      </w:pPr>
      <w:r>
        <w:rPr>
          <w:rFonts w:ascii="KoPubWorld바탕체_Pro Light" w:hAnsi="KoPubWorld바탕체_Pro Light" w:eastAsia="KoPubWorld바탕체_Pro Light" w:cs="KoPubWorld바탕체_Pro Light"/>
          <w:sz w:val="16"/>
        </w:rPr>
        <w:t>상평통보의 성공과 당백전의 실패는 같은 교훈을 준다. 화폐규제는 ‘진짜 돈’을 지정하는 일에서 끝나지 않는다. 발행량, 소재, 조세 수납, 위조 단속, 교환 관행을 함께 다루어야 한다. 액면과 구매력 사이의 틈이 벌어지면 먼저 정보를 가진 사람은 좋은 돈을 숨기고, 늦게 알아챈 사람은 나쁜 돈을 떠안는다. 화폐가치의 하락은 보이지 않는 세금처럼 작동한다. 발행으로 얻은 이익은 중앙에 모이지만 손실은 현금을 쥔 사람들에게 넓게 흩어진다.</w:t>
      </w:r>
    </w:p>
    <w:p>
      <w:pPr>
        <w:pStyle w:val="aff3"/>
        <w:spacing w:line="259" w:lineRule="auto"/>
      </w:pPr>
      <w:r>
        <w:rPr>
          <w:rFonts w:ascii="KoPubWorld바탕체_Pro Light" w:hAnsi="KoPubWorld바탕체_Pro Light" w:eastAsia="KoPubWorld바탕체_Pro Light" w:cs="KoPubWorld바탕체_Pro Light"/>
          <w:sz w:val="16"/>
        </w:rPr>
        <w:t>화폐의 표준화는 거래의 반경도 바꾸었다. 서로 다른 품질의 베와 곡물을 일일이 살피던 비용이 줄고, 먼 고을의 물건을 같은 단위로 비교할 수 있게 된다. 반면 현물로 세금과 임금을 받던 사람은 동전의 시세에 새로 노출된다. 하나의 계산 단위가 시장을 넓히는 만큼, 그 단위를 관리하는 권력의 결정도 더 많은 사람에게 동시에 미친다.</w:t>
      </w:r>
    </w:p>
    <w:p>
      <w:pPr>
        <w:pStyle w:val="aff3"/>
        <w:spacing w:line="259" w:lineRule="auto"/>
      </w:pPr>
      <w:r>
        <w:rPr>
          <w:rFonts w:ascii="KoPubWorld바탕체_Pro Light" w:hAnsi="KoPubWorld바탕체_Pro Light" w:eastAsia="KoPubWorld바탕체_Pro Light" w:cs="KoPubWorld바탕체_Pro Light"/>
          <w:sz w:val="16"/>
        </w:rPr>
        <w:t>발행권에는 주조이익뿐 아니라 긴급재정의 유혹이 붙었다. 당백전처럼 액면을 크게 정하면 국가는 적은 금속으로 당장의 지출을 마련할 수 있다. 그러나 민간이 그 차이를 가격에 반영하면 실질 자원은 새 돈을 먼저 쓴 쪽으로 이동한다. 화폐규제는 위조범만 단속하는 법이 아니라 발행자 자신을 묶는 규칙이어야 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이자의 상한은 무엇을 막았는가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화폐보다 더 직접적인 금융규제는 이자에 그어진 선이었다. 조선의 법과 행정은 빚을 부정하지 않았다. 종자와 식량, 장사 밑천을 빌릴 통로가 없으면 생산과 생계도 멈췄다. 문제는 시간이 지날수록 채무가 원금을 삼키고, 마침내 사람과 토지까지 종속시키는 순간이었다. 빚의 계약을 인정하면서도 공동체의 구성원을 영구 채무자로 만들지 않으려는 경계가 필요했다.</w:t>
      </w:r>
    </w:p>
    <w:p>
      <w:pPr>
        <w:pStyle w:val="aff3"/>
        <w:spacing w:line="259" w:lineRule="auto"/>
      </w:pPr>
      <w:r>
        <w:rPr>
          <w:rFonts w:ascii="KoPubWorld바탕체_Pro Light" w:hAnsi="KoPubWorld바탕체_Pro Light" w:eastAsia="KoPubWorld바탕체_Pro Light" w:cs="KoPubWorld바탕체_Pro Light"/>
          <w:sz w:val="16"/>
        </w:rPr>
        <w:t>1517년 중종 때 논의된 ‘일본일리’, 곧 원금 하나에 이자 하나를 넘기지 못하게 하는 원칙은 그 경계를 보여 준다.</w:t>
      </w:r>
      <w:r>
        <w:rPr>
          <w:rFonts w:ascii="KoPubWorld바탕체_Pro Light" w:hAnsi="KoPubWorld바탕체_Pro Light" w:eastAsia="KoPubWorld바탕체_Pro Light" w:cs="KoPubWorld바탕체_Pro Light"/>
          <w:sz w:val="14"/>
          <w:vertAlign w:val="superscript"/>
        </w:rPr>
        <w:t>132</w:t>
      </w:r>
      <w:r>
        <w:rPr>
          <w:rFonts w:ascii="KoPubWorld바탕체_Pro Light" w:hAnsi="KoPubWorld바탕체_Pro Light" w:eastAsia="KoPubWorld바탕체_Pro Light" w:cs="KoPubWorld바탕체_Pro Light"/>
          <w:sz w:val="16"/>
        </w:rPr>
        <w:t xml:space="preserve"> 이를 연 이율 100퍼센트라고 읽으면 핵심을 놓친다. 이 규칙은 매년 새로 이자를 붙이는 가격표라기보다 누적 이자가 원금을 넘지 못하게 한 총량의 천장이었다. 오래 묵은 빚에서 이자가 이자를 낳더라도 어느 지점에서는 법적 청구가 멈춰야 한다는 생각이다. 오늘날의 최고금리와 계산 방식은 다르지만, 채권자의 계약 자유가 채무자의 생존 기반을 지워 버릴 때 공권력이 개입한다는 논리는 닮아 있다.</w:t>
      </w:r>
    </w:p>
    <w:p>
      <w:pPr>
        <w:pStyle w:val="aff3"/>
        <w:spacing w:line="259" w:lineRule="auto"/>
      </w:pPr>
      <w:r>
        <w:rPr>
          <w:rFonts w:ascii="KoPubWorld바탕체_Pro Light" w:hAnsi="KoPubWorld바탕체_Pro Light" w:eastAsia="KoPubWorld바탕체_Pro Light" w:cs="KoPubWorld바탕체_Pro Light"/>
          <w:sz w:val="16"/>
        </w:rPr>
        <w:t>그러나 상한만으로 고리의 세계가 사라지지는 않았다. 위험한 차주에게 돈을 빌려 줄 사람이 줄면 거래는 은밀해지고, 선이자·물품매매·품삯 선급 같은 다른 형식으로 비용이 옮겨 갈 수 있다. 집행력이 약하면 채권자는 장부 밖의 압박을 사용한다. 반대로 채무를 언제나 쉽게 탕감하면 다음 흉년의 대부가 마를 수 있다. 이자규제는 숫자를 낮추는 단순한 도덕 명령이 아니라, 신용 접근과 강제 집행의 균형을 고르는 일이었다.</w:t>
      </w:r>
    </w:p>
    <w:p>
      <w:pPr>
        <w:pStyle w:val="aff3"/>
        <w:spacing w:line="259" w:lineRule="auto"/>
      </w:pPr>
      <w:r>
        <w:rPr>
          <w:rFonts w:ascii="KoPubWorld바탕체_Pro Light" w:hAnsi="KoPubWorld바탕체_Pro Light" w:eastAsia="KoPubWorld바탕체_Pro Light" w:cs="KoPubWorld바탕체_Pro Light"/>
          <w:sz w:val="16"/>
        </w:rPr>
        <w:t>이 때문에 장부가 중요했다. 언제 무엇을 빌렸고 얼마나 갚았는지, 곡식의 품질과 이자 몫은 어떠했는지 기록이 있어야 상한도 의미가 있었다. 같은 채무를 두고 채권자와 채무자가 서로 다른 기억을 말할 때 재판과 행정은 문서의 형식을 요구했다. 금융규제의 역사는 기관의 역사이기 전에 계산 가능성을 만드는 기록의 역사다. 이자를 규제하려면 먼저 원금과 이자를 구별해야 했고, 갚은 몫과 남은 몫을 시간에 따라 이어 붙여야 했다.</w:t>
      </w:r>
    </w:p>
    <w:p>
      <w:pPr>
        <w:pStyle w:val="aff3"/>
        <w:spacing w:line="259" w:lineRule="auto"/>
      </w:pPr>
      <w:r>
        <w:rPr>
          <w:rFonts w:ascii="KoPubWorld바탕체_Pro Light" w:hAnsi="KoPubWorld바탕체_Pro Light" w:eastAsia="KoPubWorld바탕체_Pro Light" w:cs="KoPubWorld바탕체_Pro Light"/>
          <w:sz w:val="16"/>
        </w:rPr>
        <w:t>같은 상한도 신분과 협상력에 따라 다르게 작동한다. 토지와 인맥이 있는 채무자는 만기를 다시 협상할 수 있지만 당장 씨앗과 끼니가 필요한 사람은 선이자를 떼거나 물건을 헐값에 넘기는 조건을 받아들인다. 법정 숫자만 비교하면 실제 신용 비용의 일부가 보이지 않는다. 거래의 형식과 강제 방법까지 살피는 집행이 필요했다.</w:t>
      </w:r>
    </w:p>
    <w:p>
      <w:pPr>
        <w:pStyle w:val="aff3"/>
        <w:spacing w:line="259" w:lineRule="auto"/>
      </w:pPr>
      <w:r>
        <w:rPr>
          <w:rFonts w:ascii="KoPubWorld바탕체_Pro Light" w:hAnsi="KoPubWorld바탕체_Pro Light" w:eastAsia="KoPubWorld바탕체_Pro Light" w:cs="KoPubWorld바탕체_Pro Light"/>
          <w:sz w:val="16"/>
        </w:rPr>
        <w:t>채권자에게도 규칙의 예측 가능성이 중요했다. 어느 재판관은 이자를 인정하고 다른 관청은 모두 삭감한다면 합법 대부가 줄고 친족·상인 관계 안의 은밀한 신용만 남는다. 채무자 보호와 신용 공급을 함께 지키려면 상한, 계산법, 담보 처분과 분쟁 절차가 한 세트로 움직여야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구휼 창고가 재정기관이 될 때</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환곡은 조선 금융의 양면을 가장 극적으로 보여 준다. 본래 봄철 곡식이 떨어질 때 관청이 곡물을 빌려 주고 수확 뒤 돌려받는 진휼 장치였다. 세종 5년인 1423년에는 1석에 3승의 모미를 붙이는 삼승모법이 잠시 시행되었고, 뒤에는 원곡의 10분의 1을 모곡으로 거두는 관행이 자리 잡았다.</w:t>
      </w:r>
      <w:r>
        <w:rPr>
          <w:rFonts w:ascii="KoPubWorld바탕체_Pro Light" w:hAnsi="KoPubWorld바탕체_Pro Light" w:eastAsia="KoPubWorld바탕체_Pro Light" w:cs="KoPubWorld바탕체_Pro Light"/>
          <w:sz w:val="14"/>
          <w:vertAlign w:val="superscript"/>
        </w:rPr>
        <w:t>133</w:t>
      </w:r>
      <w:r>
        <w:rPr>
          <w:rFonts w:ascii="KoPubWorld바탕체_Pro Light" w:hAnsi="KoPubWorld바탕체_Pro Light" w:eastAsia="KoPubWorld바탕체_Pro Light" w:cs="KoPubWorld바탕체_Pro Light"/>
          <w:sz w:val="16"/>
        </w:rPr>
        <w:t xml:space="preserve"> 창고의 감모와 운송 비용을 충당한다는 명분은 합리적이었다. 매년 같은 곡식을 순환시키려면 손실을 메울 몫이 필요했다.</w:t>
      </w:r>
    </w:p>
    <w:p>
      <w:pPr>
        <w:pStyle w:val="aff3"/>
        <w:spacing w:line="259" w:lineRule="auto"/>
      </w:pPr>
      <w:r>
        <w:rPr>
          <w:rFonts w:ascii="KoPubWorld바탕체_Pro Light" w:hAnsi="KoPubWorld바탕체_Pro Light" w:eastAsia="KoPubWorld바탕체_Pro Light" w:cs="KoPubWorld바탕체_Pro Light"/>
          <w:sz w:val="16"/>
        </w:rPr>
        <w:t>하지만 구휼기금의 수입이 지방재정에 편입되면 목적이 뒤집힐 수 있었다. 필요한 사람에게 필요한 만큼 빌려 주는 대신, 관청이 정한 양을 백성에게 떠맡기고 더 많은 곡식을 거두는 강제 대부가 된다. 창고에 없는 곡식을 장부에만 빌려 준 것으로 적거나, 질 낮은 곡식을 내주고 좋은 곡식으로 받는다면 차이는 관리와 아전의 수입이 된다. 조선 후기로 갈수록 환곡 운영에는 감사·수령·이서가 얽혔고, 분급과 이전·매매를 둘러싼 폐단이 반복해서 개혁 의제로 올랐다.</w:t>
      </w:r>
      <w:r>
        <w:rPr>
          <w:rFonts w:ascii="KoPubWorld바탕체_Pro Light" w:hAnsi="KoPubWorld바탕체_Pro Light" w:eastAsia="KoPubWorld바탕체_Pro Light" w:cs="KoPubWorld바탕체_Pro Light"/>
          <w:sz w:val="14"/>
          <w:vertAlign w:val="superscript"/>
        </w:rPr>
        <w:t>134</w:t>
      </w:r>
    </w:p>
    <w:p>
      <w:pPr>
        <w:pStyle w:val="aff3"/>
        <w:spacing w:line="259" w:lineRule="auto"/>
      </w:pPr>
      <w:r>
        <w:rPr>
          <w:rFonts w:ascii="KoPubWorld바탕체_Pro Light" w:hAnsi="KoPubWorld바탕체_Pro Light" w:eastAsia="KoPubWorld바탕체_Pro Light" w:cs="KoPubWorld바탕체_Pro Light"/>
          <w:sz w:val="16"/>
        </w:rPr>
        <w:t>환곡의 변질은 공공금융의 오래된 위험을 압축한다. 시장이 외면하는 사람에게 공공부문이 자금을 공급할 수 있다. 그 덕분에 흉년의 급매와 유랑, 생산 기반의 붕괴를 막는다. 그러나 지원기관이 동시에 징수기관이고, 성과가 회수액으로만 평가되며, 장부를 감시할 독립된 눈이 없다면 공공대부는 사적 고리보다 더 강한 폭력을 가진다. 채권자가 세금과 형벌의 권한까지 함께 쥐기 때문이다.</w:t>
      </w:r>
    </w:p>
    <w:p>
      <w:pPr>
        <w:pStyle w:val="aff3"/>
        <w:spacing w:line="259" w:lineRule="auto"/>
      </w:pPr>
      <w:r>
        <w:rPr>
          <w:rFonts w:ascii="KoPubWorld바탕체_Pro Light" w:hAnsi="KoPubWorld바탕체_Pro Light" w:eastAsia="KoPubWorld바탕체_Pro Light" w:cs="KoPubWorld바탕체_Pro Light"/>
          <w:sz w:val="16"/>
        </w:rPr>
        <w:t>환곡을 둘러싼 개혁은 금리를 조정하고 장부를 고치는 데 그치지 않았다. 어떤 곡물을 어느 창고가 보유하는지, 분급을 자발적 신청에 맡길지, 지방 경비를 별도 세원으로 충당할지까지 바꾸어야 했다. 구제와 재정을 한 통에 넣어 둔 구조 자체가 문제였던 셈이다. 제도가 실패한 이유를 백성의 도덕이나 관리 개인의 탐욕에만 돌리면, 같은 유인을 가진 새 기관에서 같은 일이 반복된다.</w:t>
      </w:r>
    </w:p>
    <w:p>
      <w:pPr>
        <w:pStyle w:val="aff3"/>
        <w:spacing w:line="259" w:lineRule="auto"/>
      </w:pPr>
      <w:r>
        <w:rPr>
          <w:rFonts w:ascii="KoPubWorld바탕체_Pro Light" w:hAnsi="KoPubWorld바탕체_Pro Light" w:eastAsia="KoPubWorld바탕체_Pro Light" w:cs="KoPubWorld바탕체_Pro Light"/>
          <w:sz w:val="16"/>
        </w:rPr>
        <w:t>환곡은 회계의 단위가 실물과 멀어질 때 생기는 위험도 보여 준다. 장부에는 한 석이 있어도 창고의 곡식이 썩었거나 비어 있다면 청구권은 실재하지 않는다. 오늘의 금융기관이 전산 잔액과 실제 유동자산을 대사하듯, 공공 창고도 재고 조사와 독립된 확인이 필요했다. 숫자가 정교할수록 그 숫자를 현실과 맞추는 감사가 중요하다.</w:t>
      </w:r>
    </w:p>
    <w:p>
      <w:pPr>
        <w:pStyle w:val="aff3"/>
        <w:spacing w:line="259" w:lineRule="auto"/>
      </w:pPr>
      <w:r>
        <w:rPr>
          <w:rFonts w:ascii="KoPubWorld바탕체_Pro Light" w:hAnsi="KoPubWorld바탕체_Pro Light" w:eastAsia="KoPubWorld바탕체_Pro Light" w:cs="KoPubWorld바탕체_Pro Light"/>
          <w:sz w:val="16"/>
        </w:rPr>
        <w:t>또한 구제 대상과 재정 부담자를 분리해서 볼 필요가 있었다. 흉년의 손실을 그해 굶주린 차입자에게 높은 이자로 모두 돌리면 보험 기능이 사라진다. 지역 전체나 평년의 재정이 일부를 나누어 부담해야 진휼이 된다. 누가 위험을 공동 부담하는지 명시하지 않으면 ‘기금의 자립’이라는 말 아래 가장 약한 이용자가 보험료와 세금을 동시에 낸다.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전당물은 말 없는 신용정보였다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현금이 급한 사람이 장부상의 평판이나 관청의 곡식을 이용할 수 없을 때 마지막 통로는 물건이었다. 옷, 농기구, 패물, 문서가 전당물로 바뀌면 돈을 빌려 주는 사람은 차주의 미래 소득을 모두 알지 않아도 되었다. 갚지 못할 경우 처분할 물건이 신용정보를 대신했다. 오늘날의 담보대출과 비슷하지만 생활필수품을 맡긴 가난한 채무자에게 유질은 단순한 자산 손실이 아니었다. 다음 계절에 일할 도구와 체면, 가족의 기억까지 사라지는 사건이었다.</w:t>
      </w:r>
    </w:p>
    <w:p>
      <w:pPr>
        <w:pStyle w:val="aff3"/>
        <w:spacing w:line="259" w:lineRule="auto"/>
      </w:pPr>
      <w:r>
        <w:rPr>
          <w:rFonts w:ascii="KoPubWorld바탕체_Pro Light" w:hAnsi="KoPubWorld바탕체_Pro Light" w:eastAsia="KoPubWorld바탕체_Pro Light" w:cs="KoPubWorld바탕체_Pro Light"/>
          <w:sz w:val="16"/>
        </w:rPr>
        <w:t>개항 뒤 도시의 전당업이 커지자 규율도 영업의 외곽을 그리기 시작했다. 갑오개혁기에 전당포를 단속하는 규칙이 마련된 뒤 전당업이 늘었고, 서울·인천·부산 등지에서는 일본인과 조선인이 함께 영업했다. 부산의 사례에서는 저당 기간과 대부액, 이자의 원금 산입 횟수 같은 조건이 정해졌지만 조선인에게 더 높은 금리가 부과되기도 했다.</w:t>
      </w:r>
      <w:r>
        <w:rPr>
          <w:rFonts w:ascii="KoPubWorld바탕체_Pro Light" w:hAnsi="KoPubWorld바탕체_Pro Light" w:eastAsia="KoPubWorld바탕체_Pro Light" w:cs="KoPubWorld바탕체_Pro Light"/>
          <w:sz w:val="14"/>
          <w:vertAlign w:val="superscript"/>
        </w:rPr>
        <w:t>135</w:t>
      </w:r>
      <w:r>
        <w:rPr>
          <w:rFonts w:ascii="KoPubWorld바탕체_Pro Light" w:hAnsi="KoPubWorld바탕체_Pro Light" w:eastAsia="KoPubWorld바탕체_Pro Light" w:cs="KoPubWorld바탕체_Pro Light"/>
          <w:sz w:val="16"/>
        </w:rPr>
        <w:t xml:space="preserve"> 여기에는 근대 금융규제의 여러 요소가 이미 보인다. 영업자 통제, 담보평가, 계약 기간, 이자 계산, 유질 절차, 차별적 가격이라는 문제다.</w:t>
      </w:r>
    </w:p>
    <w:p>
      <w:pPr>
        <w:pStyle w:val="aff3"/>
        <w:spacing w:line="259" w:lineRule="auto"/>
      </w:pPr>
      <w:r>
        <w:rPr>
          <w:rFonts w:ascii="KoPubWorld바탕체_Pro Light" w:hAnsi="KoPubWorld바탕체_Pro Light" w:eastAsia="KoPubWorld바탕체_Pro Light" w:cs="KoPubWorld바탕체_Pro Light"/>
          <w:sz w:val="16"/>
        </w:rPr>
        <w:t>전당포를 무조건 없애면 급전 창구가 사라진다. 그대로 두면 정보와 협상력이 약한 사람이 헐값 평가와 복리의 덫에 빠진다. 그래서 규제의 목적은 담보대출 자체를 금지하는 데 있지 않았다. 물건을 누가 어떤 기준으로 평가했는지, 갚을 기회가 얼마나 보장되는지, 유질 뒤 남는 가치가 누구에게 돌아가는지를 투명하게 만드는 데 있었다. 담보는 채권자의 위험을 줄이지만 그만큼 채무자의 손실을 앞당긴다. 안전한 대출이라는 표현은 누구의 입장에서 안전한지 물을 때에만 온전하다.</w:t>
      </w:r>
    </w:p>
    <w:p>
      <w:pPr>
        <w:pStyle w:val="aff3"/>
        <w:spacing w:line="259" w:lineRule="auto"/>
      </w:pPr>
      <w:r>
        <w:rPr>
          <w:rFonts w:ascii="KoPubWorld바탕체_Pro Light" w:hAnsi="KoPubWorld바탕체_Pro Light" w:eastAsia="KoPubWorld바탕체_Pro Light" w:cs="KoPubWorld바탕체_Pro Light"/>
          <w:sz w:val="16"/>
        </w:rPr>
        <w:t>전당물의 평가는 곧 가격권력이었다. 급한 채무자는 여러 곳의 견적을 비교하기 어렵고, 업자는 보관비와 가격 하락을 이유로 낮게 평가할 수 있다. 평가액, 대부 비율과 처분 가격을 기록하고 잔액을 돌려주는 절차가 없다면 담보는 사실상 즉시 매매와 다르지 않다. 규제는 계약서의 이자뿐 아니라 담보가치의 숨은 할인율을 드러내야 한다.</w:t>
      </w:r>
    </w:p>
    <w:p>
      <w:pPr>
        <w:pStyle w:val="aff3"/>
        <w:spacing w:line="259" w:lineRule="auto"/>
      </w:pPr>
      <w:r>
        <w:rPr>
          <w:rFonts w:ascii="KoPubWorld바탕체_Pro Light" w:hAnsi="KoPubWorld바탕체_Pro Light" w:eastAsia="KoPubWorld바탕체_Pro Light" w:cs="KoPubWorld바탕체_Pro Light"/>
          <w:sz w:val="16"/>
        </w:rPr>
        <w:t>유질을 늦추는 유예기간은 채무자에게 회복의 시간을 주지만 업자의 보관비용과 가격 위험을 늘린다. 너무 짧으면 생활도구를 되찾을 기회가 사라지고, 너무 길면 대부 가격이 올라간다. 이 작은 기간 설정에도 소비자보호, 신용 접근과 재산권의 충돌이 들어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오래된 장부가 남긴 질문</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조선의 금융을 은행 이전의 미완성 단계로만 보면 화폐·이자·공공대부·담보에 숨어 있던 정교한 긴장을 놓친다. 상평통보의 표지는 발행 책임을, 일본일리의 원칙은 누적 채무의 한계를, 환곡 장부는 공공기금의 목적을, 전당 규율은 담보 처분의 절차를 물었다. 제도의 이름은 달라도 모두 약속이 깨졌을 때 손실을 누구에게 돌릴지를 정했다.</w:t>
      </w:r>
    </w:p>
    <w:p>
      <w:pPr>
        <w:pStyle w:val="aff3"/>
        <w:spacing w:line="259" w:lineRule="auto"/>
      </w:pPr>
      <w:r>
        <w:rPr>
          <w:rFonts w:ascii="KoPubWorld바탕체_Pro Light" w:hAnsi="KoPubWorld바탕체_Pro Light" w:eastAsia="KoPubWorld바탕체_Pro Light" w:cs="KoPubWorld바탕체_Pro Light"/>
          <w:sz w:val="16"/>
        </w:rPr>
        <w:t>그 장치들은 완전하지 않았다. 법정 상한은 장부 밖의 강제를 막지 못했고, 구휼 창고는 재정 수요에 포획되었으며, 왕이 정한 화폐의 액면은 시장의 불신을 이기지 못했다. 그러나 실패가 곧 규제의 무용함을 뜻하지는 않는다. 오히려 규칙만 있고 기록·감사·대체 신용이 없을 때 어떤 우회가 생기는지를 보여 준다.</w:t>
      </w:r>
    </w:p>
    <w:p>
      <w:pPr>
        <w:pStyle w:val="aff3"/>
        <w:spacing w:line="259" w:lineRule="auto"/>
      </w:pPr>
      <w:r>
        <w:rPr>
          <w:rFonts w:ascii="KoPubWorld바탕체_Pro Light" w:hAnsi="KoPubWorld바탕체_Pro Light" w:eastAsia="KoPubWorld바탕체_Pro Light" w:cs="KoPubWorld바탕체_Pro Light"/>
          <w:sz w:val="16"/>
        </w:rPr>
        <w:t>오늘의 법도 같은 함정을 만난다. 최고금리를 낮추면 수수료와 불법추심으로 비용이 옮겨 갈 수 있고, 정책대출을 늘리면 대상 선정과 회수의 정치가 생긴다. 예금 잔액이 전산에 표시되어도 보관기관의 자산이 없다면 약속은 빈 장부다. 오래된 사례는 현대 금융이 더 복잡해졌을 뿐 기본 문제를 졸업하지 않았음을 일깨운다.</w:t>
      </w:r>
    </w:p>
    <w:p>
      <w:pPr>
        <w:pStyle w:val="aff3"/>
        <w:spacing w:line="259" w:lineRule="auto"/>
      </w:pPr>
      <w:r>
        <w:rPr>
          <w:rFonts w:ascii="KoPubWorld바탕체_Pro Light" w:hAnsi="KoPubWorld바탕체_Pro Light" w:eastAsia="KoPubWorld바탕체_Pro Light" w:cs="KoPubWorld바탕체_Pro Light"/>
          <w:sz w:val="16"/>
        </w:rPr>
        <w:t>따라서 조선 금융의 유산은 특정 제도의 원형을 찾는 데 있지 않다. 화폐·이자·구휼·담보를 따로 규율해도 위험이 서로 이동한다는 통찰에 있다. 돈의 가치를 흔들면 채무계약이 변하고, 공식 대부를 좁히면 전당이 커지며, 공공기금이 재정에 포획되면 민간 고리가 돌아온다. 규제의 전체 효과는 경계 사이의 이동까지 보아야 한다.</w:t>
      </w:r>
    </w:p>
    <w:p>
      <w:pPr>
        <w:pStyle w:val="aff3"/>
        <w:spacing w:line="259" w:lineRule="auto"/>
      </w:pPr>
      <w:r>
        <w:rPr>
          <w:rFonts w:ascii="KoPubWorld바탕체_Pro Light" w:hAnsi="KoPubWorld바탕체_Pro Light" w:eastAsia="KoPubWorld바탕체_Pro Light" w:cs="KoPubWorld바탕체_Pro Light"/>
          <w:sz w:val="16"/>
        </w:rPr>
        <w:t>이후 한반도에 들어온 근대 은행은 이 오래된 문제를 없애지 않았다. 장부의 형식을 바꾸고, 발권과 감독을 중앙기관에 모으고, 담보의 종류를 넓혔을 뿐이다. 더구나 그 기관들은 주권국가의 중립적 기술로 도착하지 않았다. 화폐와 은행을 지배하려는 제국의 힘과 함께 왔다. 조선의 저잣거리에서 던진 질문, 즉 누가 돈을 만들고 누구의 장부를 믿을 것인가는 다음 시대에 더 거대한 정치의 문제가 된다.</w:t>
      </w:r>
    </w:p>
    <w:p>
      <w:pPr>
        <w:pStyle w:val="aff2"/>
        <w:pageBreakBefore/>
        <w:spacing w:before="440"/>
        <w:jc w:val="center"/>
      </w:pPr>
      <w:r>
        <w:rPr>
          <w:rFonts w:ascii="KoPubWorld바탕체_Pro Bold" w:hAnsi="KoPubWorld바탕체_Pro Bold" w:eastAsia="KoPubWorld바탕체_Pro Bold" w:cs="KoPubWorld바탕체_Pro Bold"/>
          <w:b/>
          <w:sz w:val="24"/>
        </w:rPr>
        <w:t>Chapter. 23</w:t>
      </w:r>
    </w:p>
    <w:p>
      <w:pPr>
        <w:pStyle w:val="aff1"/>
        <w:jc w:val="center"/>
      </w:pPr>
      <w:r>
        <w:rPr>
          <w:rFonts w:ascii="KoPubWorld바탕체_Pro Bold" w:hAnsi="KoPubWorld바탕체_Pro Bold" w:eastAsia="KoPubWorld바탕체_Pro Bold" w:cs="KoPubWorld바탕체_Pro Bold"/>
          <w:b/>
          <w:sz w:val="28"/>
        </w:rPr>
        <w:t>식민지 금융에서 중앙은행으로 - 조선은행, 해방, 한국은행법과 은행법</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1909년 11월, 서울 남대문 가까이에 ‘한국은행’이라는 이름의 은행이 문을 열었다. 오늘의 한국은행과 같은 이름이지만 같은 기관은 아니었다. 1909년 7월 공포된 한국은행조례에 따라 설립된 이 은행은 일본 제일은행이 쥐고 있던 은행권 발행과 국고 업무를 넘겨받았다.</w:t>
      </w:r>
      <w:r>
        <w:rPr>
          <w:rFonts w:ascii="KoPubWorld바탕체_Pro Light" w:hAnsi="KoPubWorld바탕체_Pro Light" w:eastAsia="KoPubWorld바탕체_Pro Light" w:cs="KoPubWorld바탕체_Pro Light"/>
          <w:sz w:val="14"/>
          <w:vertAlign w:val="superscript"/>
        </w:rPr>
        <w:t>136</w:t>
      </w:r>
      <w:r>
        <w:rPr>
          <w:rFonts w:ascii="KoPubWorld바탕체_Pro Light" w:hAnsi="KoPubWorld바탕체_Pro Light" w:eastAsia="KoPubWorld바탕체_Pro Light" w:cs="KoPubWorld바탕체_Pro Light"/>
          <w:sz w:val="16"/>
        </w:rPr>
        <w:t xml:space="preserve"> 간판만 보면 근대적 중앙은행의 탄생처럼 보인다. 그러나 누가 그 은행을 설계했고, 어떤 통화를 퍼뜨렸으며, 누구의 재정과 전쟁을 위해 대차대조표를 늘렸는지를 보면 전혀 다른 역사가 나타난다.</w:t>
      </w:r>
    </w:p>
    <w:p>
      <w:pPr>
        <w:pStyle w:val="aff3"/>
        <w:spacing w:line="259" w:lineRule="auto"/>
      </w:pPr>
      <w:r>
        <w:rPr>
          <w:rFonts w:ascii="KoPubWorld바탕체_Pro Light" w:hAnsi="KoPubWorld바탕체_Pro Light" w:eastAsia="KoPubWorld바탕체_Pro Light" w:cs="KoPubWorld바탕체_Pro Light"/>
          <w:sz w:val="16"/>
        </w:rPr>
        <w:t>중앙은행은 지폐를 인쇄하는 건물이 아니다. 무엇을 최종 결제수단으로 삼을지, 은행이 위기에 빠졌을 때 누구에게 유동성을 줄지, 국가 재정과 민간 신용 사이에 어떤 문을 둘지를 정하는 헌법적 기관이다. 그래서 식민지기의 발권은행과 해방 뒤의 중앙은행을 이름의 연속선 위에 놓을 수 없다. 제도는 자산과 인력 일부를 이어받을 수 있지만, 정당성은 목적과 통제 구조에서 새로 만들어져야 한다.</w:t>
      </w:r>
    </w:p>
    <w:p>
      <w:pPr>
        <w:pStyle w:val="aff3"/>
        <w:spacing w:line="259" w:lineRule="auto"/>
      </w:pPr>
      <w:r>
        <w:rPr>
          <w:rFonts w:ascii="KoPubWorld바탕체_Pro Light" w:hAnsi="KoPubWorld바탕체_Pro Light" w:eastAsia="KoPubWorld바탕체_Pro Light" w:cs="KoPubWorld바탕체_Pro Light"/>
          <w:sz w:val="16"/>
        </w:rPr>
        <w:t>발권은행을 평가할 때는 세 가지를 나누어야 한다. 지폐를 발행할 독점, 은행 사이 결제를 끝낼 장부, 위기 때 유동성을 공급할 권한이다. 세 기능은 서로를 강화하지만 반드시 같은 기관에 있어야 하는 것은 아니다. 식민지 조선에서는 그 결합이 금융 안정의 수단인 동시에 통치와 자금 동원의 수단이 되었다.</w:t>
      </w:r>
    </w:p>
    <w:p>
      <w:pPr>
        <w:pStyle w:val="aff3"/>
        <w:spacing w:line="259" w:lineRule="auto"/>
      </w:pPr>
      <w:r>
        <w:rPr>
          <w:rFonts w:ascii="KoPubWorld바탕체_Pro Light" w:hAnsi="KoPubWorld바탕체_Pro Light" w:eastAsia="KoPubWorld바탕체_Pro Light" w:cs="KoPubWorld바탕체_Pro Light"/>
          <w:sz w:val="16"/>
        </w:rPr>
        <w:t>중앙의 은행권이 널리 쓰이면 지역마다 다른 화폐를 바꾸는 비용이 줄고 세금과 송금이 쉬워진다. 동시에 발행기관의 규칙이 멀리 있는 장터와 농촌의 거래까지 침투한다. 통일된 돈은 통일된 시장을 만들지만 그 시장이 누구의 정치공동체를 위해 운영되는지는 별도 문제다.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화폐개혁이라는 주권의 이동</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개항기의 조선에는 여러 동전과 외국 화폐가 함께 돌았다. 정부는 1894년 신식화폐발행장정을 통해 화폐 단위와 주조 체계를 고치려 했지만 재정 부족과 동전 남발의 문제를 풀지 못했다. 1901년 화폐조례는 금본위제를 내걸었으나 실제 시행에 필요한 준비금과 통제력은 갖추지 못했다.</w:t>
      </w:r>
      <w:r>
        <w:rPr>
          <w:rFonts w:ascii="KoPubWorld바탕체_Pro Light" w:hAnsi="KoPubWorld바탕체_Pro Light" w:eastAsia="KoPubWorld바탕체_Pro Light" w:cs="KoPubWorld바탕체_Pro Light"/>
          <w:sz w:val="14"/>
          <w:vertAlign w:val="superscript"/>
        </w:rPr>
        <w:t>137</w:t>
      </w:r>
      <w:r>
        <w:rPr>
          <w:rFonts w:ascii="KoPubWorld바탕체_Pro Light" w:hAnsi="KoPubWorld바탕체_Pro Light" w:eastAsia="KoPubWorld바탕체_Pro Light" w:cs="KoPubWorld바탕체_Pro Light"/>
          <w:sz w:val="16"/>
        </w:rPr>
        <w:t xml:space="preserve"> 화폐의 통일은 기술적 표준화처럼 보였지만, 어느 나라의 돈과 환율을 기준으로 삼을지 정하는 외교·재정의 선택이었다.</w:t>
      </w:r>
    </w:p>
    <w:p>
      <w:pPr>
        <w:pStyle w:val="aff3"/>
        <w:spacing w:line="259" w:lineRule="auto"/>
      </w:pPr>
      <w:r>
        <w:rPr>
          <w:rFonts w:ascii="KoPubWorld바탕체_Pro Light" w:hAnsi="KoPubWorld바탕체_Pro Light" w:eastAsia="KoPubWorld바탕체_Pro Light" w:cs="KoPubWorld바탕체_Pro Light"/>
          <w:sz w:val="16"/>
        </w:rPr>
        <w:t>1905년 화폐정리사업은 이 선택을 일본 쪽으로 결정적으로 기울였다. 구화폐를 교환하는 과정에서 제일은행권과 일본 화폐가 지급수단으로 쓰였고, 교환 기준에 미달한 동전을 가진 상인과 농민은 손실을 떠안았다.</w:t>
      </w:r>
      <w:r>
        <w:rPr>
          <w:rFonts w:ascii="KoPubWorld바탕체_Pro Light" w:hAnsi="KoPubWorld바탕체_Pro Light" w:eastAsia="KoPubWorld바탕체_Pro Light" w:cs="KoPubWorld바탕체_Pro Light"/>
          <w:sz w:val="14"/>
          <w:vertAlign w:val="superscript"/>
        </w:rPr>
        <w:t>138</w:t>
      </w:r>
      <w:r>
        <w:rPr>
          <w:rFonts w:ascii="KoPubWorld바탕체_Pro Light" w:hAnsi="KoPubWorld바탕체_Pro Light" w:eastAsia="KoPubWorld바탕체_Pro Light" w:cs="KoPubWorld바탕체_Pro Light"/>
          <w:sz w:val="16"/>
        </w:rPr>
        <w:t xml:space="preserve"> ‘나쁜 돈을 정리한다’는 목표는 그 자체로 이해할 수 있었다. 문제는 정리 기준, 교환 창구, 새 화폐의 발행권을 외부 세력이 장악했다는 데 있었다. 규격을 통일하는 규제는 거래비용을 줄였지만 동시에 통화주권을 옮기는 통로가 되었다.</w:t>
      </w:r>
    </w:p>
    <w:p>
      <w:pPr>
        <w:pStyle w:val="aff3"/>
        <w:spacing w:line="259" w:lineRule="auto"/>
      </w:pPr>
      <w:r>
        <w:rPr>
          <w:rFonts w:ascii="KoPubWorld바탕체_Pro Light" w:hAnsi="KoPubWorld바탕체_Pro Light" w:eastAsia="KoPubWorld바탕체_Pro Light" w:cs="KoPubWorld바탕체_Pro Light"/>
          <w:sz w:val="16"/>
        </w:rPr>
        <w:t>이 사건은 금융규제가 가치중립적 도구가 아님을 보여 준다. 동일한 회계 단위와 안정된 은행권은 시장을 넓히지만, 그 단위를 발행하는 기관은 주조차익과 정보, 긴급 유동성의 방향을 통제한다. 낡은 동전을 들고 교환소 앞에 선 사람에게 화폐개혁은 거시경제의 현대화가 아니라 당장 재산이 얼마로 인정되는지를 가르는 심사였다. 제도의 편익은 넓고 장기적으로 나타났지만 전환 손실은 특정 집단에 즉시 집중되었다.</w:t>
      </w:r>
    </w:p>
    <w:p>
      <w:pPr>
        <w:pStyle w:val="aff3"/>
        <w:spacing w:line="259" w:lineRule="auto"/>
      </w:pPr>
      <w:r>
        <w:rPr>
          <w:rFonts w:ascii="KoPubWorld바탕체_Pro Light" w:hAnsi="KoPubWorld바탕체_Pro Light" w:eastAsia="KoPubWorld바탕체_Pro Light" w:cs="KoPubWorld바탕체_Pro Light"/>
          <w:sz w:val="16"/>
        </w:rPr>
        <w:t>전환 규칙의 세부는 거시적 목표만큼 중요하다. 교환 기간이 짧고 창구가 멀면 현금을 많이 쥔 농민과 영세상인이 불리하다. 위조·저질 화폐를 걸러 내는 기준이 불투명하면 동일한 동전도 소유자의 정보와 관계에 따라 다른 가치를 받는다. 화폐개혁의 공정성은 새 단위의 아름다움보다 구화폐 보유자의 이의제기와 손실 보상에서 드러난다.</w:t>
      </w:r>
    </w:p>
    <w:p>
      <w:pPr>
        <w:pStyle w:val="aff3"/>
        <w:spacing w:line="259" w:lineRule="auto"/>
      </w:pPr>
      <w:r>
        <w:rPr>
          <w:rFonts w:ascii="KoPubWorld바탕체_Pro Light" w:hAnsi="KoPubWorld바탕체_Pro Light" w:eastAsia="KoPubWorld바탕체_Pro Light" w:cs="KoPubWorld바탕체_Pro Light"/>
          <w:sz w:val="16"/>
        </w:rPr>
        <w:t>준비금이 충분하지 않은 새 화폐는 강제통용만으로 신뢰를 얻기 어렵다. 세금 납부와 공공 지출에서 일관되게 받아 주고, 발행 한도와 교환 약속을 지켜야 한다. 제일은행권의 확산은 이런 제도적 네트워크와 일본의 정치·군사력에 기대었다. 화폐의 안정성과 통치의 강제력이 같은 방향으로 작동한 셈이다.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두 ‘한국은행’ 사이의 단절</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1909년의 옛 한국은행은 1910년 병합 뒤 이름과 법적 지위를 바꾸었다. 1911년 3월 28일 공포되고 같은 해 8월 15일 시행된 조선은행법에 따라 조선은행이 되었다.</w:t>
      </w:r>
      <w:r>
        <w:rPr>
          <w:rFonts w:ascii="KoPubWorld바탕체_Pro Light" w:hAnsi="KoPubWorld바탕체_Pro Light" w:eastAsia="KoPubWorld바탕체_Pro Light" w:cs="KoPubWorld바탕체_Pro Light"/>
          <w:sz w:val="14"/>
          <w:vertAlign w:val="superscript"/>
        </w:rPr>
        <w:t>139</w:t>
      </w:r>
      <w:r>
        <w:rPr>
          <w:rFonts w:ascii="KoPubWorld바탕체_Pro Light" w:hAnsi="KoPubWorld바탕체_Pro Light" w:eastAsia="KoPubWorld바탕체_Pro Light" w:cs="KoPubWorld바탕체_Pro Light"/>
          <w:sz w:val="16"/>
        </w:rPr>
        <w:t xml:space="preserve"> 발권과 국고, 외환 업무를 수행한 조선은행은 한반도 금융의 중심에 있었지만 그 최종 책임은 식민 통치 체계 안에 놓였다. 중앙은행 비슷한 기능을 했다는 사실과 식민지 중앙은행이었다는 성격은 함께 보아야 한다.</w:t>
      </w:r>
    </w:p>
    <w:p>
      <w:pPr>
        <w:pStyle w:val="aff3"/>
        <w:spacing w:line="259" w:lineRule="auto"/>
      </w:pPr>
      <w:r>
        <w:rPr>
          <w:rFonts w:ascii="KoPubWorld바탕체_Pro Light" w:hAnsi="KoPubWorld바탕체_Pro Light" w:eastAsia="KoPubWorld바탕체_Pro Light" w:cs="KoPubWorld바탕체_Pro Light"/>
          <w:sz w:val="16"/>
        </w:rPr>
        <w:t>식민지 금융의 피라미드는 발권은행 하나로 끝나지 않았다. 보통은행은 상업금융을, 조선식산은행과 금융조합은 산업·농업 금융을 맡도록 분화되었다. 1912년 은행령에 이어 1928년 새 은행령은 은행을 주식회사로 제한하고 최저자본금, 이익준비금, 공시와 검사에 관한 요건을 강화했다.</w:t>
      </w:r>
      <w:r>
        <w:rPr>
          <w:rFonts w:ascii="KoPubWorld바탕체_Pro Light" w:hAnsi="KoPubWorld바탕체_Pro Light" w:eastAsia="KoPubWorld바탕체_Pro Light" w:cs="KoPubWorld바탕체_Pro Light"/>
          <w:sz w:val="14"/>
          <w:vertAlign w:val="superscript"/>
        </w:rPr>
        <w:t>140</w:t>
      </w:r>
      <w:r>
        <w:rPr>
          <w:rFonts w:ascii="KoPubWorld바탕체_Pro Light" w:hAnsi="KoPubWorld바탕체_Pro Light" w:eastAsia="KoPubWorld바탕체_Pro Light" w:cs="KoPubWorld바탕체_Pro Light"/>
          <w:sz w:val="16"/>
        </w:rPr>
        <w:t xml:space="preserve"> 형식만 보면 건전성 규제의 발전이다. 자본이 얇은 은행의 난립을 막고 예금자를 보호하며 감독당국이 장부를 들여다보게 했기 때문이다.</w:t>
      </w:r>
    </w:p>
    <w:p>
      <w:pPr>
        <w:pStyle w:val="aff3"/>
        <w:spacing w:line="259" w:lineRule="auto"/>
      </w:pPr>
      <w:r>
        <w:rPr>
          <w:rFonts w:ascii="KoPubWorld바탕체_Pro Light" w:hAnsi="KoPubWorld바탕체_Pro Light" w:eastAsia="KoPubWorld바탕체_Pro Light" w:cs="KoPubWorld바탕체_Pro Light"/>
          <w:sz w:val="16"/>
        </w:rPr>
        <w:t>그러나 건전성의 목적을 제국의 자금 동원과 분리할 수는 없다. 어떤 기관에 면허를 주고 어떤 지역과 산업에 신용을 공급하게 했는지가 식민지 경제의 구조를 만들었다. 높은 자본 문턱은 부실 영업자를 걸러 내는 동시에 조선인 소규모 금융업자의 진입을 어렵게 할 수 있었다. 감독은 예금자의 안전을 높이는 동시에 자금 흐름을 더 세밀하게 통제했다. 규제는 시장을 억누르는 외부 명령이 아니라, 허용된 금융기관의 목록과 위계를 만드는 설계였다.</w:t>
      </w:r>
    </w:p>
    <w:p>
      <w:pPr>
        <w:pStyle w:val="aff3"/>
        <w:spacing w:line="259" w:lineRule="auto"/>
      </w:pPr>
      <w:r>
        <w:rPr>
          <w:rFonts w:ascii="KoPubWorld바탕체_Pro Light" w:hAnsi="KoPubWorld바탕체_Pro Light" w:eastAsia="KoPubWorld바탕체_Pro Light" w:cs="KoPubWorld바탕체_Pro Light"/>
          <w:sz w:val="16"/>
        </w:rPr>
        <w:t>은행의 자본금은 손실 흡수 능력을 뜻하지만 명목 금액만으로 충분하지 않다. 자본의 실제 납입 여부, 대주주와 계열 거래, 자산의 회수 가능성을 함께 봐야 한다. 형식적 최저자본 규제가 식민지 금융의 지배구조를 건드리지 못한다면 튼튼해 보이는 외관 뒤에 정책 목적과 집중위험이 남는다.</w:t>
      </w:r>
    </w:p>
    <w:p>
      <w:pPr>
        <w:pStyle w:val="aff3"/>
        <w:spacing w:line="259" w:lineRule="auto"/>
      </w:pPr>
      <w:r>
        <w:rPr>
          <w:rFonts w:ascii="KoPubWorld바탕체_Pro Light" w:hAnsi="KoPubWorld바탕체_Pro Light" w:eastAsia="KoPubWorld바탕체_Pro Light" w:cs="KoPubWorld바탕체_Pro Light"/>
          <w:sz w:val="16"/>
        </w:rPr>
        <w:t>공시와 검사는 정보의 방향도 정한다. 예금자가 은행의 재무를 이해할 수 있게 하는 공개와 통치당국이 금융기관을 감시하는 보고는 같지 않다. 자료가 상부 기관에는 상세히 올라가도 지역 예금자에게는 보이지 않을 수 있다. 감독 투명성은 감독자가 많이 아는 것과 대중이 필요한 것을 아는 일을 함께 요구한다.</w:t>
      </w:r>
    </w:p>
    <w:p>
      <w:pPr>
        <w:pStyle w:val="aff3"/>
        <w:spacing w:line="259" w:lineRule="auto"/>
      </w:pPr>
      <w:r>
        <w:rPr>
          <w:rFonts w:ascii="KoPubWorld바탕체_Pro Light" w:hAnsi="KoPubWorld바탕체_Pro Light" w:eastAsia="KoPubWorld바탕체_Pro Light" w:cs="KoPubWorld바탕체_Pro Light"/>
          <w:sz w:val="16"/>
        </w:rPr>
        <w:t>조선식산은행과 금융조합의 계층적 자금망은 정책금융이 누구의 산업을 발전시키는가라는 질문을 남겼다. 장기·농업금융이라는 명목은 시장의 공백을 메울 수 있지만 토지와 생산물을 담보로 식민지의 자원을 동원하는 구조가 될 수도 있다. 목적 조항과 실제 대출 흐름을 따로 검증해야 하는 이유다.</w:t>
      </w:r>
    </w:p>
    <w:p>
      <w:pPr>
        <w:pStyle w:val="aff3"/>
        <w:spacing w:line="259" w:lineRule="auto"/>
      </w:pPr>
      <w:r>
        <w:rPr>
          <w:rFonts w:ascii="KoPubWorld바탕체_Pro Light" w:hAnsi="KoPubWorld바탕체_Pro Light" w:eastAsia="KoPubWorld바탕체_Pro Light" w:cs="KoPubWorld바탕체_Pro Light"/>
          <w:sz w:val="16"/>
        </w:rPr>
        <w:t>1937년 중일전쟁 이후 조선은행권의 발행은 전쟁 금융과 함께 크게 늘었다. 조선은행은 식민지 내부의 결제만이 아니라 일본의 대륙 침략을 뒷받침하는 금융망에 연결되었다.</w:t>
      </w:r>
      <w:r>
        <w:rPr>
          <w:rFonts w:ascii="KoPubWorld바탕체_Pro Light" w:hAnsi="KoPubWorld바탕체_Pro Light" w:eastAsia="KoPubWorld바탕체_Pro Light" w:cs="KoPubWorld바탕체_Pro Light"/>
          <w:sz w:val="14"/>
          <w:vertAlign w:val="superscript"/>
        </w:rPr>
        <w:t>141</w:t>
      </w:r>
      <w:r>
        <w:rPr>
          <w:rFonts w:ascii="KoPubWorld바탕체_Pro Light" w:hAnsi="KoPubWorld바탕체_Pro Light" w:eastAsia="KoPubWorld바탕체_Pro Light" w:cs="KoPubWorld바탕체_Pro Light"/>
          <w:sz w:val="16"/>
        </w:rPr>
        <w:t xml:space="preserve"> 발권력의 확장은 전시 물자 조달을 가능하게 했지만 그 비용은 물가와 화폐가치의 변화로 사회에 분산되었다. 중앙은행의 대차대조표가 커진다는 말 뒤에는 누가 새 돈을 먼저 받고 누가 뒤늦게 오른 가격을 감당하는지가 숨어 있었다.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해방은 결제일을 기다려 주지 않았다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1945년 해방은 정치적 주권을 되찾는 사건이었지만 예금, 대출, 급여, 어음의 만기는 다음 날에도 돌아왔다. 식민지 기관을 즉시 지워 버리면 지급결제가 멈추고, 그대로 두면 통치의 목적과 권한이 남는다. 새 정부가 맞닥뜨린 과제는 단절과 연속을 동시에 관리하는 일이었다. 지폐와 장부, 직원과 지점을 이용하되 발권의 목적과 책임 구조를 새 헌정질서에 맞게 바꾸어야 했다.</w:t>
      </w:r>
      <w:r>
        <w:rPr>
          <w:rFonts w:ascii="KoPubWorld바탕체_Pro Light" w:hAnsi="KoPubWorld바탕체_Pro Light" w:eastAsia="KoPubWorld바탕체_Pro Light" w:cs="KoPubWorld바탕체_Pro Light"/>
          <w:sz w:val="14"/>
          <w:vertAlign w:val="superscript"/>
        </w:rPr>
        <w:t>142</w:t>
      </w:r>
    </w:p>
    <w:p>
      <w:pPr>
        <w:pStyle w:val="aff3"/>
        <w:spacing w:line="259" w:lineRule="auto"/>
      </w:pPr>
      <w:r>
        <w:rPr>
          <w:rFonts w:ascii="KoPubWorld바탕체_Pro Light" w:hAnsi="KoPubWorld바탕체_Pro Light" w:eastAsia="KoPubWorld바탕체_Pro Light" w:cs="KoPubWorld바탕체_Pro Light"/>
          <w:sz w:val="16"/>
        </w:rPr>
        <w:t>해방 직후의 인플레이션과 분단, 재정 수요는 중앙은행 설계를 더 어렵게 했다. 정부가 손쉽게 발권에 접근하면 국가 운영과 전쟁 비용을 조달할 수 있지만 통화가치가 흔들릴 수 있다. 반대로 중앙은행의 독립을 너무 단단히 세우면 갓 출범한 국가의 긴급한 재정·산업 수요에 대응하기 어렵다. 중앙은행법은 경제학 교과서의 정답을 옮기는 작업이 아니라, 취약한 국가에서 정부 신용에 어떤 제동을 걸 것인지 선택하는 일이었다.</w:t>
      </w:r>
    </w:p>
    <w:p>
      <w:pPr>
        <w:pStyle w:val="aff3"/>
        <w:spacing w:line="259" w:lineRule="auto"/>
      </w:pPr>
      <w:r>
        <w:rPr>
          <w:rFonts w:ascii="KoPubWorld바탕체_Pro Light" w:hAnsi="KoPubWorld바탕체_Pro Light" w:eastAsia="KoPubWorld바탕체_Pro Light" w:cs="KoPubWorld바탕체_Pro Light"/>
          <w:sz w:val="16"/>
        </w:rPr>
        <w:t>이때 중요한 구분은 ‘정부로부터의 독립’과 ‘사회로부터의 고립’이다. 중앙은행이 재무부의 현금창구로만 움직이면 물가와 은행 건전성을 지키기 어렵다. 그렇다고 선출되지 않은 기관이 모든 신용 배분을 독점하면 민주적 책임이 약해진다. 누가 정책 목표를 정하고, 누가 수단을 선택하며, 갈등이 생길 때 어떤 절차로 조정하는지가 법에 들어가야 했다.</w:t>
      </w:r>
    </w:p>
    <w:p>
      <w:pPr>
        <w:pStyle w:val="aff3"/>
        <w:spacing w:line="259" w:lineRule="auto"/>
      </w:pPr>
      <w:r>
        <w:rPr>
          <w:rFonts w:ascii="KoPubWorld바탕체_Pro Light" w:hAnsi="KoPubWorld바탕체_Pro Light" w:eastAsia="KoPubWorld바탕체_Pro Light" w:cs="KoPubWorld바탕체_Pro Light"/>
          <w:sz w:val="16"/>
        </w:rPr>
        <w:t>해방은 기존 채권·채무의 법적 연속성도 물었다. 식민지 기관에 예금한 사람의 권리는 어떤 통화로 보장할지, 발행된 지폐와 국채를 누가 책임질지, 북과 남으로 갈린 지점의 장부를 어떻게 대사할지가 남았다. 정치적 단절을 선언해도 금융계약의 만기는 사라지지 않는다. 새 국가는 과거의 부채를 어디까지 인수할지 결정하며 신뢰의 첫 기록을 쓴다.</w:t>
      </w:r>
    </w:p>
    <w:p>
      <w:pPr>
        <w:pStyle w:val="aff3"/>
        <w:spacing w:line="259" w:lineRule="auto"/>
      </w:pPr>
      <w:r>
        <w:rPr>
          <w:rFonts w:ascii="KoPubWorld바탕체_Pro Light" w:hAnsi="KoPubWorld바탕체_Pro Light" w:eastAsia="KoPubWorld바탕체_Pro Light" w:cs="KoPubWorld바탕체_Pro Light"/>
          <w:sz w:val="16"/>
        </w:rPr>
        <w:t>인력의 연속성 역시 양면적이었다. 기존 직원과 장부 기술을 모두 배제하면 결제 능력이 무너지고, 그대로 유지하면 식민지 조직문화와 이해관계가 남을 수 있다. 전문성의 활용과 책임의 재구성을 함께 해야 했다. 기관의 역사에서 ‘새 출발’은 사람을 교체하는 한 번의 사건보다 권한과 평가 기준을 바꾸는 긴 과정이다.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1950년, 두 법이 세운 이중 구조</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1950년 5월 5일 한국은행법과 은행법이 각각 법률 제138호와 제139호로 제정되었고, 현대의 한국은행은 같은 해 6월 12일 업무를 시작했다.</w:t>
      </w:r>
      <w:r>
        <w:rPr>
          <w:rFonts w:ascii="KoPubWorld바탕체_Pro Light" w:hAnsi="KoPubWorld바탕체_Pro Light" w:eastAsia="KoPubWorld바탕체_Pro Light" w:cs="KoPubWorld바탕체_Pro Light"/>
          <w:sz w:val="14"/>
          <w:vertAlign w:val="superscript"/>
        </w:rPr>
        <w:t>142</w:t>
      </w:r>
      <w:r>
        <w:rPr>
          <w:rFonts w:ascii="KoPubWorld바탕체_Pro Light" w:hAnsi="KoPubWorld바탕체_Pro Light" w:eastAsia="KoPubWorld바탕체_Pro Light" w:cs="KoPubWorld바탕체_Pro Light"/>
          <w:sz w:val="14"/>
          <w:vertAlign w:val="superscript"/>
        </w:rPr>
        <w:t>143</w:t>
      </w:r>
      <w:r>
        <w:rPr>
          <w:rFonts w:ascii="KoPubWorld바탕체_Pro Light" w:hAnsi="KoPubWorld바탕체_Pro Light" w:eastAsia="KoPubWorld바탕체_Pro Light" w:cs="KoPubWorld바탕체_Pro Light"/>
          <w:sz w:val="16"/>
        </w:rPr>
        <w:t xml:space="preserve"> 불과 몇 주 뒤 전쟁이 시작되었다. 새 중앙은행은 안정된 평시가 아니라 통화 발행, 국고, 외환과 피란지의 결제를 동시에 감당해야 하는 극한 조건에서 첫 시험을 치렀다.</w:t>
      </w:r>
    </w:p>
    <w:p>
      <w:pPr>
        <w:pStyle w:val="aff3"/>
        <w:spacing w:line="259" w:lineRule="auto"/>
      </w:pPr>
      <w:r>
        <w:rPr>
          <w:rFonts w:ascii="KoPubWorld바탕체_Pro Light" w:hAnsi="KoPubWorld바탕체_Pro Light" w:eastAsia="KoPubWorld바탕체_Pro Light" w:cs="KoPubWorld바탕체_Pro Light"/>
          <w:sz w:val="16"/>
        </w:rPr>
        <w:t>두 법을 함께 보아야 설계가 보인다. 한국은행법은 통화신용정책과 발권, 은행 감독의 중심을 만들었고, 은행법은 예금을 받아 대출하는 기관의 진입과 영업, 건전성에 공통 규칙을 부여했다. 중앙은행이 최종 결제와 유동성의 축이라면 상업은행은 신용을 실제 경제에 배분하는 말단이었다. 하나만 규율하면 다른 쪽에서 위험이 자란다. 발권은 안정돼도 은행이 무모하게 대출하면 예금이 흔들리고, 은행을 엄격히 감독해도 정부가 통화를 남발하면 대차대조표의 숫자 자체가 녹아내린다.</w:t>
      </w:r>
      <w:r>
        <w:rPr>
          <w:rFonts w:ascii="KoPubWorld바탕체_Pro Light" w:hAnsi="KoPubWorld바탕체_Pro Light" w:eastAsia="KoPubWorld바탕체_Pro Light" w:cs="KoPubWorld바탕체_Pro Light"/>
          <w:sz w:val="14"/>
          <w:vertAlign w:val="superscript"/>
        </w:rPr>
        <w:t>142</w:t>
      </w:r>
      <w:r>
        <w:rPr>
          <w:rFonts w:ascii="KoPubWorld바탕체_Pro Light" w:hAnsi="KoPubWorld바탕체_Pro Light" w:eastAsia="KoPubWorld바탕체_Pro Light" w:cs="KoPubWorld바탕체_Pro Light"/>
          <w:sz w:val="14"/>
          <w:vertAlign w:val="superscript"/>
        </w:rPr>
        <w:t>143</w:t>
      </w:r>
    </w:p>
    <w:p>
      <w:pPr>
        <w:pStyle w:val="aff3"/>
        <w:spacing w:line="259" w:lineRule="auto"/>
      </w:pPr>
      <w:r>
        <w:rPr>
          <w:rFonts w:ascii="KoPubWorld바탕체_Pro Light" w:hAnsi="KoPubWorld바탕체_Pro Light" w:eastAsia="KoPubWorld바탕체_Pro Light" w:cs="KoPubWorld바탕체_Pro Light"/>
          <w:sz w:val="16"/>
        </w:rPr>
        <w:t>은행 면허는 사기업에 주는 보통 영업허가와 달랐다. 은행은 액면 상환을 약속하는 예금을 만들고 결제망에 접속하며, 위기 때 중앙은행과 공공 안전망의 지원을 기대한다. 그 특권의 반대편에는 자본, 유동성, 대주주와 영업행위에 대한 더 강한 제한이 놓인다. 은행법은 영업 자유를 줄이는 법이면서 사적 예금을 공적 돈처럼 쓰게 하는 기반이었다.</w:t>
      </w:r>
    </w:p>
    <w:p>
      <w:pPr>
        <w:pStyle w:val="aff3"/>
        <w:spacing w:line="259" w:lineRule="auto"/>
      </w:pPr>
      <w:r>
        <w:rPr>
          <w:rFonts w:ascii="KoPubWorld바탕체_Pro Light" w:hAnsi="KoPubWorld바탕체_Pro Light" w:eastAsia="KoPubWorld바탕체_Pro Light" w:cs="KoPubWorld바탕체_Pro Light"/>
          <w:sz w:val="16"/>
        </w:rPr>
        <w:t>감독권을 중앙은행에 둔 초기 설계는 정보와 유동성 권한을 결합했다. 검사에서 부실을 발견한 기관이 즉시 결제 상황과 긴급대출을 판단할 수 있다는 장점이 있었다. 반대로 통화정책 목표와 개별 은행 구제의 이해가 충돌하고, 감독 실패를 늦게 드러낼 위험도 있었다. 훗날 감독 분리 논쟁은 이미 이 구조 안에 들어 있었다.</w:t>
      </w:r>
    </w:p>
    <w:p>
      <w:pPr>
        <w:pStyle w:val="aff3"/>
        <w:spacing w:line="259" w:lineRule="auto"/>
      </w:pPr>
      <w:r>
        <w:rPr>
          <w:rFonts w:ascii="KoPubWorld바탕체_Pro Light" w:hAnsi="KoPubWorld바탕체_Pro Light" w:eastAsia="KoPubWorld바탕체_Pro Light" w:cs="KoPubWorld바탕체_Pro Light"/>
          <w:sz w:val="16"/>
        </w:rPr>
        <w:t>초기 한국은행법은 금융통화위원회를 핵심 의사결정기구로 두고 정치적 중립을 지향했으며, 한국은행에 은행 감독과 외환 관련 기능을 부여했다.</w:t>
      </w:r>
      <w:r>
        <w:rPr>
          <w:rFonts w:ascii="KoPubWorld바탕체_Pro Light" w:hAnsi="KoPubWorld바탕체_Pro Light" w:eastAsia="KoPubWorld바탕체_Pro Light" w:cs="KoPubWorld바탕체_Pro Light"/>
          <w:sz w:val="14"/>
          <w:vertAlign w:val="superscript"/>
        </w:rPr>
        <w:t>142</w:t>
      </w:r>
      <w:r>
        <w:rPr>
          <w:rFonts w:ascii="KoPubWorld바탕체_Pro Light" w:hAnsi="KoPubWorld바탕체_Pro Light" w:eastAsia="KoPubWorld바탕체_Pro Light" w:cs="KoPubWorld바탕체_Pro Light"/>
          <w:sz w:val="16"/>
        </w:rPr>
        <w:t xml:space="preserve"> 이는 식민지 발권은행과 다른 정당성의 원천을 만들려는 시도였다. 발권이 통치자의 편의를 위한 특권이 아니라 법률이 정한 목적과 합의제 절차에 묶여야 한다는 뜻이었다. 그러나 법의 문언과 실제 권력의 거리는 곧 시험대에 오른다.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중앙은행을 누가 감독하는가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은행 감독에는 피할 수 없는 역설이 있다. 중앙은행은 결제 자료와 은행의 유동성을 가장 가까이서 보고, 위기 때 돈을 빌려 줄 수 있으므로 감독에 유리하다. 그러나 감독 실패가 드러나면 스스로 구제금융을 제공해 문제를 덮을 유인도 있다. 정부는 민주적 책임과 재정 수단을 갖지만, 선거와 산업정책의 압력 때문에 부실을 늦게 인정할 수 있다. 별도 감독기관은 전문성을 키울 수 있으나 통화·결제 정보와 떨어질 위험이 있다.</w:t>
      </w:r>
    </w:p>
    <w:p>
      <w:pPr>
        <w:pStyle w:val="aff3"/>
        <w:spacing w:line="259" w:lineRule="auto"/>
      </w:pPr>
      <w:r>
        <w:rPr>
          <w:rFonts w:ascii="KoPubWorld바탕체_Pro Light" w:hAnsi="KoPubWorld바탕체_Pro Light" w:eastAsia="KoPubWorld바탕체_Pro Light" w:cs="KoPubWorld바탕체_Pro Light"/>
          <w:sz w:val="16"/>
        </w:rPr>
        <w:t>1950년의 선택은 완성된 답이 아니었다. 그것은 식민지 금융망을 국민국가의 중앙은행과 은행법 체계로 바꾼 첫 헌법적 합의였다. 이후 정부 주도의 경제개발이 시작되자 정치적 중립, 외환 통제, 감독 권한의 배분은 다시 흔들렸다. 중앙은행이 물가와 건전성을 지키는 심판인지, 국가가 정한 산업으로 돈을 보내는 집행기관인지가 충돌했다.</w:t>
      </w:r>
      <w:r>
        <w:rPr>
          <w:rFonts w:ascii="KoPubWorld바탕체_Pro Light" w:hAnsi="KoPubWorld바탕체_Pro Light" w:eastAsia="KoPubWorld바탕체_Pro Light" w:cs="KoPubWorld바탕체_Pro Light"/>
          <w:sz w:val="14"/>
          <w:vertAlign w:val="superscript"/>
        </w:rPr>
        <w:t>142</w:t>
      </w:r>
    </w:p>
    <w:p>
      <w:pPr>
        <w:pStyle w:val="aff3"/>
        <w:spacing w:line="259" w:lineRule="auto"/>
      </w:pPr>
      <w:r>
        <w:rPr>
          <w:rFonts w:ascii="KoPubWorld바탕체_Pro Light" w:hAnsi="KoPubWorld바탕체_Pro Light" w:eastAsia="KoPubWorld바탕체_Pro Light" w:cs="KoPubWorld바탕체_Pro Light"/>
          <w:sz w:val="16"/>
        </w:rPr>
        <w:t>식민지기의 경험이 남긴 가장 큰 교훈은 기관의 명칭과 형식만으로 목적을 알 수 없다는 점이다. 자본금 요건과 검사는 예금자를 보호할 수도, 배제의 장벽이 될 수도 있다. 통화 통일은 거래를 편리하게 할 수도, 주권을 빼앗는 장치가 될 수도 있다. 중앙은행권은 신뢰의 닻이 될 수도, 전쟁 비용을 사회에 나누어 부과하는 수단이 될 수도 있다.</w:t>
      </w:r>
    </w:p>
    <w:p>
      <w:pPr>
        <w:pStyle w:val="aff3"/>
        <w:spacing w:line="259" w:lineRule="auto"/>
      </w:pPr>
      <w:r>
        <w:rPr>
          <w:rFonts w:ascii="KoPubWorld바탕체_Pro Light" w:hAnsi="KoPubWorld바탕체_Pro Light" w:eastAsia="KoPubWorld바탕체_Pro Light" w:cs="KoPubWorld바탕체_Pro Light"/>
          <w:sz w:val="16"/>
        </w:rPr>
        <w:t>중앙은행의 정당성은 결과만으로도 충분하지 않다. 물가가 안정됐더라도 특정 정부나 제국의 재정을 우선했다면 누구를 위한 안정인지 물어야 한다. 반대로 민주적 통제를 받더라도 단기 지시로 화폐가치를 훼손하면 장기 신뢰를 잃는다. 목적, 절차와 결과를 함께 보아야 이름이 같은 두 ‘한국은행’ 사이의 차이가 선명해진다.</w:t>
      </w:r>
    </w:p>
    <w:p>
      <w:pPr>
        <w:pStyle w:val="aff3"/>
        <w:spacing w:line="259" w:lineRule="auto"/>
      </w:pPr>
      <w:r>
        <w:rPr>
          <w:rFonts w:ascii="KoPubWorld바탕체_Pro Light" w:hAnsi="KoPubWorld바탕체_Pro Light" w:eastAsia="KoPubWorld바탕체_Pro Light" w:cs="KoPubWorld바탕체_Pro Light"/>
          <w:sz w:val="16"/>
        </w:rPr>
        <w:t>해방 뒤의 두 법은 발권과 은행업을 새 주권 아래에 두었지만 다음 질문까지 해결하지는 못했다. 부족한 자본을 빠르게 산업으로 보내야 할 때 누가 우선순위를 정할 것인가. 시장 금리가 그 일을 하게 둘 것인가, 정부가 대출의 가격과 목적지를 지정할 것인가. 1960년대 이후 한국은 후자를 택했고, 중앙은행과 상업은행의 장부는 경제개발계획의 지도 위에 놓이게 된다.</w:t>
      </w:r>
      <w:r>
        <w:rPr>
          <w:rFonts w:ascii="KoPubWorld바탕체_Pro Light" w:hAnsi="KoPubWorld바탕체_Pro Light" w:eastAsia="KoPubWorld바탕체_Pro Light" w:cs="KoPubWorld바탕체_Pro Light"/>
          <w:sz w:val="14"/>
          <w:vertAlign w:val="superscript"/>
        </w:rPr>
        <w:t>144</w:t>
      </w:r>
    </w:p>
    <w:p>
      <w:pPr>
        <w:pStyle w:val="aff2"/>
        <w:pageBreakBefore/>
        <w:spacing w:before="440"/>
        <w:jc w:val="center"/>
      </w:pPr>
      <w:r>
        <w:rPr>
          <w:rFonts w:ascii="KoPubWorld바탕체_Pro Bold" w:hAnsi="KoPubWorld바탕체_Pro Bold" w:eastAsia="KoPubWorld바탕체_Pro Bold" w:cs="KoPubWorld바탕체_Pro Bold"/>
          <w:b/>
          <w:sz w:val="24"/>
        </w:rPr>
        <w:t>Chapter. 24</w:t>
      </w:r>
    </w:p>
    <w:p>
      <w:pPr>
        <w:pStyle w:val="aff1"/>
        <w:jc w:val="center"/>
      </w:pPr>
      <w:r>
        <w:rPr>
          <w:rFonts w:ascii="KoPubWorld바탕체_Pro Bold" w:hAnsi="KoPubWorld바탕체_Pro Bold" w:eastAsia="KoPubWorld바탕체_Pro Bold" w:cs="KoPubWorld바탕체_Pro Bold"/>
          <w:b/>
          <w:sz w:val="28"/>
        </w:rPr>
        <w:t>돈의 흐름을 국가가 설계하다 - 개발금융, 금리통제, 정책금융</w:t>
      </w:r>
    </w:p>
    <w:p>
      <w:pPr>
        <w:spacing w:before="60" w:after="0"/>
      </w:pPr>
    </w:p>
    <w:p>
      <w:pPr>
        <w:keepNext/>
        <w:jc w:val="center"/>
      </w:pPr>
      <w:r>
        <w:drawing>
          <wp:inline xmlns:a="http://schemas.openxmlformats.org/drawingml/2006/main" xmlns:pic="http://schemas.openxmlformats.org/drawingml/2006/picture">
            <wp:extent cx="3941063" cy="2218026"/>
            <wp:docPr id="14" name="Picture 14" descr="개발금융 회의. 국가는 금리와 대출대상, 은행 인사를 통해 돈의 흐름을 설계했다." title="개발금융 회의. 국가는 금리와 대출대상, 은행 인사를 통해 돈의 흐름을 설계했다."/>
            <wp:cNvGraphicFramePr>
              <a:graphicFrameLocks noChangeAspect="1"/>
            </wp:cNvGraphicFramePr>
            <a:graphic>
              <a:graphicData uri="http://schemas.openxmlformats.org/drawingml/2006/picture">
                <pic:pic>
                  <pic:nvPicPr>
                    <pic:cNvPr id="0" name="part4_korea_development_gray_q86.jpg"/>
                    <pic:cNvPicPr/>
                  </pic:nvPicPr>
                  <pic:blipFill>
                    <a:blip r:embed="rId50"/>
                    <a:stretch>
                      <a:fillRect/>
                    </a:stretch>
                  </pic:blipFill>
                  <pic:spPr>
                    <a:xfrm>
                      <a:off x="0" y="0"/>
                      <a:ext cx="3941063" cy="2218026"/>
                    </a:xfrm>
                    <a:prstGeom prst="rect"/>
                  </pic:spPr>
                </pic:pic>
              </a:graphicData>
            </a:graphic>
          </wp:inline>
        </w:drawing>
      </w:r>
    </w:p>
    <w:p>
      <w:pPr>
        <w:pStyle w:val="aff6"/>
        <w:jc w:val="center"/>
      </w:pPr>
      <w:r>
        <w:rPr>
          <w:rFonts w:ascii="Noto Sans CJK KR" w:hAnsi="Noto Sans CJK KR" w:eastAsia="Noto Sans CJK KR" w:cs="Noto Sans CJK KR"/>
          <w:sz w:val="17"/>
        </w:rPr>
        <w:t>그림 24. 개발금융 회의. 국가는 금리와 대출대상, 은행 인사를 통해 돈의 흐름을 설계했다.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1962년 6월 어느 아침, 가게의 가격표와 가계 장부의 단위가 한꺼번에 바뀌었다. 열 환이 한 원이 되었고, 옛 화폐는 원칙적으로 예금 계정으로 들어갔다. 정부는 숨어 있던 자금을 끌어내 산업자금으로 쓰고 과잉 유동성을 흡수하려 했다. 그러나 의도한 경제적 목표는 이루지 못했고, 오늘까지 남은 것은 ‘원’이라는 단위였다.</w:t>
      </w:r>
      <w:r>
        <w:rPr>
          <w:rFonts w:ascii="KoPubWorld바탕체_Pro Light" w:hAnsi="KoPubWorld바탕체_Pro Light" w:eastAsia="KoPubWorld바탕체_Pro Light" w:cs="KoPubWorld바탕체_Pro Light"/>
          <w:sz w:val="14"/>
          <w:vertAlign w:val="superscript"/>
        </w:rPr>
        <w:t>145</w:t>
      </w:r>
      <w:r>
        <w:rPr>
          <w:rFonts w:ascii="KoPubWorld바탕체_Pro Light" w:hAnsi="KoPubWorld바탕체_Pro Light" w:eastAsia="KoPubWorld바탕체_Pro Light" w:cs="KoPubWorld바탕체_Pro Light"/>
          <w:sz w:val="14"/>
          <w:vertAlign w:val="superscript"/>
        </w:rPr>
        <w:t>146</w:t>
      </w:r>
      <w:r>
        <w:rPr>
          <w:rFonts w:ascii="KoPubWorld바탕체_Pro Light" w:hAnsi="KoPubWorld바탕체_Pro Light" w:eastAsia="KoPubWorld바탕체_Pro Light" w:cs="KoPubWorld바탕체_Pro Light"/>
          <w:sz w:val="16"/>
        </w:rPr>
        <w:t xml:space="preserve"> 화폐개혁은 가장 과감한 금융 동원 실험이었지만, 장롱 속 현금이 공장 기계로 자동 변환되지는 않았다.</w:t>
      </w:r>
    </w:p>
    <w:p>
      <w:pPr>
        <w:pStyle w:val="aff3"/>
        <w:spacing w:line="259" w:lineRule="auto"/>
      </w:pPr>
      <w:r>
        <w:rPr>
          <w:rFonts w:ascii="KoPubWorld바탕체_Pro Light" w:hAnsi="KoPubWorld바탕체_Pro Light" w:eastAsia="KoPubWorld바탕체_Pro Light" w:cs="KoPubWorld바탕체_Pro Light"/>
          <w:sz w:val="16"/>
        </w:rPr>
        <w:t>개발금융의 역사는 이 실패와 함께 읽어야 한다. 국가는 방향을 정할 수 있었지만 모든 정보를 가질 수는 없었다. 시장은 분산된 정보를 가격에 담을 수 있었지만, 전쟁 직후의 얕은 자본시장과 짧은 예금만으로 대규모 산업 투자를 감당하기 어려웠다. 한국은 은행, 중앙은행, 정책금융기관, 금리와 외환 배분을 하나의 성장 장치로 묶었다. 이 장치는 빠른 축적을 가능하게 했고 동시에 실패한 기업의 손실을 뒤로 미루는 습관을 만들었다.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전후 복구의 은행에서 계획의 은행으로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한국산업은행은 1954년 산업개발과 국민경제 발전에 필요한 장기 산업자금을 공급·관리하기 위해 설립되었다.</w:t>
      </w:r>
      <w:r>
        <w:rPr>
          <w:rFonts w:ascii="KoPubWorld바탕체_Pro Light" w:hAnsi="KoPubWorld바탕체_Pro Light" w:eastAsia="KoPubWorld바탕체_Pro Light" w:cs="KoPubWorld바탕체_Pro Light"/>
          <w:sz w:val="14"/>
          <w:vertAlign w:val="superscript"/>
        </w:rPr>
        <w:t>147</w:t>
      </w:r>
      <w:r>
        <w:rPr>
          <w:rFonts w:ascii="KoPubWorld바탕체_Pro Light" w:hAnsi="KoPubWorld바탕체_Pro Light" w:eastAsia="KoPubWorld바탕체_Pro Light" w:cs="KoPubWorld바탕체_Pro Light"/>
          <w:sz w:val="16"/>
        </w:rPr>
        <w:t xml:space="preserve"> 전쟁 직후 민간 은행은 장기 예금을 충분히 모으기 어려웠다. 발전소와 도로, 공장은 완공까지 오랜 시간이 걸리고 수익도 불확실했다. 단기 예금으로 장기 설비를 대출하면 만기 불일치가 커진다. 정책은행은 정부 보증과 채권 발행을 바탕으로 그 간극을 메웠다.</w:t>
      </w:r>
    </w:p>
    <w:p>
      <w:pPr>
        <w:pStyle w:val="aff3"/>
        <w:spacing w:line="259" w:lineRule="auto"/>
      </w:pPr>
      <w:r>
        <w:rPr>
          <w:rFonts w:ascii="KoPubWorld바탕체_Pro Light" w:hAnsi="KoPubWorld바탕체_Pro Light" w:eastAsia="KoPubWorld바탕체_Pro Light" w:cs="KoPubWorld바탕체_Pro Light"/>
          <w:sz w:val="16"/>
        </w:rPr>
        <w:t>정책금융은 시장 실패에 대한 답이었다. 사회 전체에는 큰 이익이 있지만 개별 투자자가 회수하기 어려운 기반시설, 처음이라 위험을 가늠하기 힘든 산업, 담보가 부족한 수출기업에 장기 자금을 공급할 수 있었다. 민간 금융이 과거 실적을 보고 돈을 빌려 준다면 개발국가는 미래의 산업구조를 보고 신용을 앞당겼다. 이 과정에서 대출은 단순한 계약이 아니라 산업정책의 표가 되었다.</w:t>
      </w:r>
    </w:p>
    <w:p>
      <w:pPr>
        <w:pStyle w:val="aff3"/>
        <w:spacing w:line="259" w:lineRule="auto"/>
      </w:pPr>
      <w:r>
        <w:rPr>
          <w:rFonts w:ascii="KoPubWorld바탕체_Pro Light" w:hAnsi="KoPubWorld바탕체_Pro Light" w:eastAsia="KoPubWorld바탕체_Pro Light" w:cs="KoPubWorld바탕체_Pro Light"/>
          <w:sz w:val="16"/>
        </w:rPr>
        <w:t>정책금융의 보조는 예산처럼 보이지 않는 경우가 많다. 정부 보증, 낮은 조달금리와 중앙은행의 재할인은 대출 가격에 스며들어 국회의 세출표 밖에서 배분된다. 그만큼 지원의 현재가치, 손실과 회수 실적을 별도로 공개해야 한다. 값싼 돈은 공짜 자원이 아니라 예금자·납세자와 다른 차입자가 나누어 부담한 선택이다.</w:t>
      </w:r>
    </w:p>
    <w:p>
      <w:pPr>
        <w:pStyle w:val="aff3"/>
        <w:spacing w:line="259" w:lineRule="auto"/>
      </w:pPr>
      <w:r>
        <w:rPr>
          <w:rFonts w:ascii="KoPubWorld바탕체_Pro Light" w:hAnsi="KoPubWorld바탕체_Pro Light" w:eastAsia="KoPubWorld바탕체_Pro Light" w:cs="KoPubWorld바탕체_Pro Light"/>
          <w:sz w:val="16"/>
        </w:rPr>
        <w:t>장기대출의 성과는 늦게 드러난다. 당장의 연체가 없다고 좋은 투자가 아니고, 초기 손실이 났다고 실패라고 단정할 수도 없다. 정책은행에는 민간 은행보다 긴 평가기간이 필요하지만, 그 이유로 부실 인정을 끝없이 미뤄서는 안 된다. 중간 목표와 독립 평가, 지원 종료 조건이 있어야 ‘인내자본’과 ‘좀비대출’을 구별할 수 있다.</w:t>
      </w:r>
    </w:p>
    <w:p>
      <w:pPr>
        <w:pStyle w:val="aff3"/>
        <w:spacing w:line="259" w:lineRule="auto"/>
      </w:pPr>
      <w:r>
        <w:rPr>
          <w:rFonts w:ascii="KoPubWorld바탕체_Pro Light" w:hAnsi="KoPubWorld바탕체_Pro Light" w:eastAsia="KoPubWorld바탕체_Pro Light" w:cs="KoPubWorld바탕체_Pro Light"/>
          <w:sz w:val="16"/>
        </w:rPr>
        <w:t>하지만 미래를 고르는 권한에는 특권이 붙는다. 낮은 금리의 정책자금을 받는 기업은 같은 생산성이라도 경쟁자보다 유리해진다. 대출 심사에서 경제성보다 정치적 관계가 앞서면 자본이 낭비된다. 성공한 기업은 자신의 선견지명을 말하고, 실패한 기업은 국가 목표를 수행했으니 구제를 요구할 수 있다. 정책금융의 성과는 대출액이나 공장 수가 아니라 추가로 만들어 낸 생산성과 회수된 위험을 함께 보아야 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중앙은행의 중립이 흔들리다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1961년 6월 제정된 ‘금융기관에 대한 임시조치법’은 금융기관 주주의 의결권 행사를 제한하고 정부가 은행 경영을 통제할 길을 넓혔다. 이 임시 체제는 1982년에야 폐지되었다.</w:t>
      </w:r>
      <w:r>
        <w:rPr>
          <w:rFonts w:ascii="KoPubWorld바탕체_Pro Light" w:hAnsi="KoPubWorld바탕체_Pro Light" w:eastAsia="KoPubWorld바탕체_Pro Light" w:cs="KoPubWorld바탕체_Pro Light"/>
          <w:sz w:val="14"/>
          <w:vertAlign w:val="superscript"/>
        </w:rPr>
        <w:t>148</w:t>
      </w:r>
      <w:r>
        <w:rPr>
          <w:rFonts w:ascii="KoPubWorld바탕체_Pro Light" w:hAnsi="KoPubWorld바탕체_Pro Light" w:eastAsia="KoPubWorld바탕체_Pro Light" w:cs="KoPubWorld바탕체_Pro Light"/>
          <w:sz w:val="16"/>
        </w:rPr>
        <w:t xml:space="preserve"> 은행은 민간 회사의 외형을 유지했지만 신용 배분의 핵심 결정은 국가 계획과 가까워졌다. 소유권, 감독, 대출 지시가 겹치면서 정부는 은행을 재정 밖의 정책 집행망처럼 사용할 수 있었다.</w:t>
      </w:r>
    </w:p>
    <w:p>
      <w:pPr>
        <w:pStyle w:val="aff3"/>
        <w:spacing w:line="259" w:lineRule="auto"/>
      </w:pPr>
      <w:r>
        <w:rPr>
          <w:rFonts w:ascii="KoPubWorld바탕체_Pro Light" w:hAnsi="KoPubWorld바탕체_Pro Light" w:eastAsia="KoPubWorld바탕체_Pro Light" w:cs="KoPubWorld바탕체_Pro Light"/>
          <w:sz w:val="16"/>
        </w:rPr>
        <w:t>1962년 5월 24일 한국은행법의 첫 큰 개정은 같은 방향을 제도화했다. 외환정책의 중심이 정부로 이동했고, 금융통화위원회에 대한 정부의 영향력과 재무부 장관의 재의 요구, 예산 승인·검사 권한이 강화되었다.</w:t>
      </w:r>
      <w:r>
        <w:rPr>
          <w:rFonts w:ascii="KoPubWorld바탕체_Pro Light" w:hAnsi="KoPubWorld바탕체_Pro Light" w:eastAsia="KoPubWorld바탕체_Pro Light" w:cs="KoPubWorld바탕체_Pro Light"/>
          <w:sz w:val="14"/>
          <w:vertAlign w:val="superscript"/>
        </w:rPr>
        <w:t>144</w:t>
      </w:r>
      <w:r>
        <w:rPr>
          <w:rFonts w:ascii="KoPubWorld바탕체_Pro Light" w:hAnsi="KoPubWorld바탕체_Pro Light" w:eastAsia="KoPubWorld바탕체_Pro Light" w:cs="KoPubWorld바탕체_Pro Light"/>
          <w:sz w:val="16"/>
        </w:rPr>
        <w:t xml:space="preserve"> 1950년 법이 지향했던 정치적 중립은 경제개발계획을 신속하게 뒷받침해야 한다는 목표 앞에서 후퇴했다. 통화정책은 물가만이 아니라 성장률, 수출과 특정 산업의 자금 사정을 함께 보게 되었다.</w:t>
      </w:r>
    </w:p>
    <w:p>
      <w:pPr>
        <w:pStyle w:val="aff3"/>
        <w:spacing w:line="259" w:lineRule="auto"/>
      </w:pPr>
      <w:r>
        <w:rPr>
          <w:rFonts w:ascii="KoPubWorld바탕체_Pro Light" w:hAnsi="KoPubWorld바탕체_Pro Light" w:eastAsia="KoPubWorld바탕체_Pro Light" w:cs="KoPubWorld바탕체_Pro Light"/>
          <w:sz w:val="16"/>
        </w:rPr>
        <w:t>이 변화는 단순한 독재 대 독립의 구도로는 다 설명되지 않는다. 당시의 외환은 희소했고 국제 금융시장 접근은 제한적이었다. 누군가는 수입 설비와 원료에 달러를 우선 배분해야 했다. 중앙은행이 정부 계획과 완전히 따로 움직였다면 정책 충돌과 자금 단절이 커졌을 수 있다. 반대로 한 기관의 목표가 너무 많아지면 물가 불안과 부실 대출의 책임이 흐려진다. 성장에 필요한 통화 공급과 재정 적자의 보전을 구별하기가 어려워진다.</w:t>
      </w:r>
    </w:p>
    <w:p>
      <w:pPr>
        <w:pStyle w:val="aff3"/>
        <w:spacing w:line="259" w:lineRule="auto"/>
      </w:pPr>
      <w:r>
        <w:rPr>
          <w:rFonts w:ascii="KoPubWorld바탕체_Pro Light" w:hAnsi="KoPubWorld바탕체_Pro Light" w:eastAsia="KoPubWorld바탕체_Pro Light" w:cs="KoPubWorld바탕체_Pro Light"/>
          <w:sz w:val="16"/>
        </w:rPr>
        <w:t>개발금융의 핵심은 자금의 가격과 수량을 함께 통제한 데 있었다. 금리를 낮게 묶고 특정 부문에 대출 한도를 배정하면 선택된 기업은 값싼 신용을 얻는다. 그러나 예금 금리가 물가 상승을 따라가지 못하면 가계는 금융기관 밖의 자산과 사채를 찾는다. 공식 금리가 희소성을 반영하지 못할수록 대출 창구의 승인권이 더 값비싼 자원이 된다. 가격 통제는 이자를 없애지 않고, 이자의 일부를 인맥·담보·행정 승인이라는 비가격 비용으로 바꾼다.</w:t>
      </w:r>
    </w:p>
    <w:p>
      <w:pPr>
        <w:pStyle w:val="aff3"/>
        <w:spacing w:line="259" w:lineRule="auto"/>
      </w:pPr>
      <w:r>
        <w:rPr>
          <w:rFonts w:ascii="KoPubWorld바탕체_Pro Light" w:hAnsi="KoPubWorld바탕체_Pro Light" w:eastAsia="KoPubWorld바탕체_Pro Light" w:cs="KoPubWorld바탕체_Pro Light"/>
          <w:sz w:val="16"/>
        </w:rPr>
        <w:t>외환 배분은 원화 대출보다 더 강한 선별이었다. 기계와 원료를 수입하려는 기업에 달러를 줄지 결정하면 산업의 생산능력과 생존을 직접 좌우한다. 수출 실적으로 사후 성과를 확인할 수 있다는 장점이 있었지만, 환율과 보증의 혜택까지 합치면 실제 지원 규모는 더 컸다. 대출금리만 보고 특혜를 계산해서는 전체 자원 이전을 알 수 없다.</w:t>
      </w:r>
    </w:p>
    <w:p>
      <w:pPr>
        <w:pStyle w:val="aff3"/>
        <w:spacing w:line="259" w:lineRule="auto"/>
      </w:pPr>
      <w:r>
        <w:rPr>
          <w:rFonts w:ascii="KoPubWorld바탕체_Pro Light" w:hAnsi="KoPubWorld바탕체_Pro Light" w:eastAsia="KoPubWorld바탕체_Pro Light" w:cs="KoPubWorld바탕체_Pro Light"/>
          <w:sz w:val="16"/>
        </w:rPr>
        <w:t>행정 배분이 규율로 작동하려면 실패한 사업에서 자금을 거둘 수 있어야 한다. 처음의 선정이 아무리 정교해도 기술과 시장은 바뀐다. 이미 투입한 비용과 고용을 이유로 추가 대출을 반복하면 과거의 선택이 미래의 예산을 붙잡는다. 개발국가의 능력은 승자를 고르는 힘만큼 패자를 인정하는 힘에서 판별된다.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금리의 두 얼굴과 사채시장</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1962년 이자제한법은 민간 대차의 최고이율을 법으로 제한하는 틀을 세웠다.</w:t>
      </w:r>
      <w:r>
        <w:rPr>
          <w:rFonts w:ascii="KoPubWorld바탕체_Pro Light" w:hAnsi="KoPubWorld바탕체_Pro Light" w:eastAsia="KoPubWorld바탕체_Pro Light" w:cs="KoPubWorld바탕체_Pro Light"/>
          <w:sz w:val="14"/>
          <w:vertAlign w:val="superscript"/>
        </w:rPr>
        <w:t>149</w:t>
      </w:r>
      <w:r>
        <w:rPr>
          <w:rFonts w:ascii="KoPubWorld바탕체_Pro Light" w:hAnsi="KoPubWorld바탕체_Pro Light" w:eastAsia="KoPubWorld바탕체_Pro Light" w:cs="KoPubWorld바탕체_Pro Light"/>
          <w:sz w:val="16"/>
        </w:rPr>
        <w:t xml:space="preserve"> 그러나 제도권 금융의 낮은 금리와 빠르게 늘어난 기업 자금 수요 사이에는 큰 틈이 있었다. 은행 대출을 배정받지 못한 기업은 사채시장으로 갔고, 그곳의 금리는 위험뿐 아니라 공식 신용의 희소성을 반영했다. 같은 기업이 은행에서는 낮은 정책금리로, 장부 밖에서는 훨씬 높은 가격으로 돈을 빌리는 이중 구조가 생겼다.</w:t>
      </w:r>
    </w:p>
    <w:p>
      <w:pPr>
        <w:pStyle w:val="aff3"/>
        <w:spacing w:line="259" w:lineRule="auto"/>
      </w:pPr>
      <w:r>
        <w:rPr>
          <w:rFonts w:ascii="KoPubWorld바탕체_Pro Light" w:hAnsi="KoPubWorld바탕체_Pro Light" w:eastAsia="KoPubWorld바탕체_Pro Light" w:cs="KoPubWorld바탕체_Pro Light"/>
          <w:sz w:val="16"/>
        </w:rPr>
        <w:t>금리통제는 저축을 산업에 값싸게 공급하는 ‘금융억압’의 도구였다. 예금자에게 지급될 수익의 일부가 차입 기업으로 이전된 셈이다. 물가가 안정되고 기업이 성장해 대출을 갚으면 사회는 산업화의 과실을 나눌 수 있다. 그러나 인플레이션이 높거나 부실기업이 자금을 계속 차지하면 예금자는 실질가치 하락을, 경쟁 기업은 금융 접근의 차별을 부담한다. 보조금이 예산에 기록되지 않으므로 누가 얼마나 지원받았는지도 흐릿해진다.</w:t>
      </w:r>
    </w:p>
    <w:p>
      <w:pPr>
        <w:pStyle w:val="aff3"/>
        <w:spacing w:line="259" w:lineRule="auto"/>
      </w:pPr>
      <w:r>
        <w:rPr>
          <w:rFonts w:ascii="KoPubWorld바탕체_Pro Light" w:hAnsi="KoPubWorld바탕체_Pro Light" w:eastAsia="KoPubWorld바탕체_Pro Light" w:cs="KoPubWorld바탕체_Pro Light"/>
          <w:sz w:val="16"/>
        </w:rPr>
        <w:t>국가는 이 틈을 없애기보다 때로는 다시 설계했다. 수출 실적과 외화 획득을 대출 자격에 연결하고, 정책금융기관과 시중은행에 부문별 역할을 부여했다. 성과 조건이 분명하고 회수 압력이 작동할 때 선택적 신용은 기업을 세계시장으로 밀어냈다. 반면 목표가 모호하거나 퇴출이 지연되면 대출은 미래 생산성보다 과거 부채를 연장하는 데 쓰였다. 같은 정책수단이 규율과 구제의 두 얼굴을 가진 이유다.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8·3조치, 장부를 다시 쓰다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1972년 8월 2일 공포되어 다음 날 시행된 대통령 긴급명령 제15호는 기업의 사채를 신고하게 하고 상환을 동결한 뒤 장기 채무로 바꾸었다. 신고된 사채에는 3년 거치, 5년 분할상환의 틀이 적용되었고 금융기관은 별도의 장기·저리 자금을 공급했다.</w:t>
      </w:r>
      <w:r>
        <w:rPr>
          <w:rFonts w:ascii="KoPubWorld바탕체_Pro Light" w:hAnsi="KoPubWorld바탕체_Pro Light" w:eastAsia="KoPubWorld바탕체_Pro Light" w:cs="KoPubWorld바탕체_Pro Light"/>
          <w:sz w:val="14"/>
          <w:vertAlign w:val="superscript"/>
        </w:rPr>
        <w:t>150</w:t>
      </w:r>
      <w:r>
        <w:rPr>
          <w:rFonts w:ascii="KoPubWorld바탕체_Pro Light" w:hAnsi="KoPubWorld바탕체_Pro Light" w:eastAsia="KoPubWorld바탕체_Pro Light" w:cs="KoPubWorld바탕체_Pro Light"/>
          <w:sz w:val="14"/>
          <w:vertAlign w:val="superscript"/>
        </w:rPr>
        <w:t>151</w:t>
      </w:r>
      <w:r>
        <w:rPr>
          <w:rFonts w:ascii="KoPubWorld바탕체_Pro Light" w:hAnsi="KoPubWorld바탕체_Pro Light" w:eastAsia="KoPubWorld바탕체_Pro Light" w:cs="KoPubWorld바탕체_Pro Light"/>
          <w:sz w:val="16"/>
        </w:rPr>
        <w:t xml:space="preserve"> 채무계약 수만 건의 만기와 금리를 국가가 한 번에 다시 쓴 사건이었다.</w:t>
      </w:r>
    </w:p>
    <w:p>
      <w:pPr>
        <w:pStyle w:val="aff3"/>
        <w:spacing w:line="259" w:lineRule="auto"/>
      </w:pPr>
      <w:r>
        <w:rPr>
          <w:rFonts w:ascii="KoPubWorld바탕체_Pro Light" w:hAnsi="KoPubWorld바탕체_Pro Light" w:eastAsia="KoPubWorld바탕체_Pro Light" w:cs="KoPubWorld바탕체_Pro Light"/>
          <w:sz w:val="16"/>
        </w:rPr>
        <w:t>조치의 논리는 분명했다. 높은 사채 금리가 기업을 쓰러뜨리면 고용과 은행 대출도 함께 무너질 수 있었다. 개별 채권자가 먼저 회수하려 달려들면 전체 기업 부문이 지급불능에 빠지는 집단행동 문제가 생긴다. 일시 동결과 만기 연장은 숨을 돌릴 시간을 준다. 오늘날의 채무조정과 기업회생도 비슷한 이유로 개별 집행을 멈춘다.</w:t>
      </w:r>
    </w:p>
    <w:p>
      <w:pPr>
        <w:pStyle w:val="aff3"/>
        <w:spacing w:line="259" w:lineRule="auto"/>
      </w:pPr>
      <w:r>
        <w:rPr>
          <w:rFonts w:ascii="KoPubWorld바탕체_Pro Light" w:hAnsi="KoPubWorld바탕체_Pro Light" w:eastAsia="KoPubWorld바탕체_Pro Light" w:cs="KoPubWorld바탕체_Pro Light"/>
          <w:sz w:val="16"/>
        </w:rPr>
        <w:t>그러나 8·3조치는 법원의 개별 심사보다 행정명령으로 광범위한 채권을 바꿨다. 기업의 주주와 경영자가 먼저 손실을 부담했는지, 사채권자의 재산권 제한이 공정했는지, 지원받은 기업이 이후 어떤 규율을 받았는지가 핵심이었다. 원래의 계약을 믿고 돈을 빌려 준 사람은 금리와 유동성을 잃었고, 과도하게 차입한 기업은 생존 기회를 얻었다. 시스템을 구한다는 명분이 잘못된 위험 선택을 보상할 수 있다는 도덕적 해이가 선명해졌다.</w:t>
      </w:r>
    </w:p>
    <w:p>
      <w:pPr>
        <w:pStyle w:val="aff3"/>
        <w:spacing w:line="259" w:lineRule="auto"/>
      </w:pPr>
      <w:r>
        <w:rPr>
          <w:rFonts w:ascii="KoPubWorld바탕체_Pro Light" w:hAnsi="KoPubWorld바탕체_Pro Light" w:eastAsia="KoPubWorld바탕체_Pro Light" w:cs="KoPubWorld바탕체_Pro Light"/>
          <w:sz w:val="16"/>
        </w:rPr>
        <w:t>이 조치는 공식 금융과 비공식 금융의 경계도 드러냈다. 은행 금리를 억누르고 대출을 배정한 결과 자금 수요가 사채로 밀려났는데, 사채 문제가 커지자 다시 국가가 계약을 바꾸었다. 규제가 만든 우회로를 또 다른 규제로 봉합한 셈이다. 금융규제의 순환은 여기서 뚜렷하다. 경계를 긋고, 시장이 경계 밖으로 이동하고, 위기가 나면 그 바깥까지 새 규칙이 따라간다.</w:t>
      </w:r>
    </w:p>
    <w:p>
      <w:pPr>
        <w:pStyle w:val="aff3"/>
        <w:spacing w:line="259" w:lineRule="auto"/>
      </w:pPr>
      <w:r>
        <w:rPr>
          <w:rFonts w:ascii="KoPubWorld바탕체_Pro Light" w:hAnsi="KoPubWorld바탕체_Pro Light" w:eastAsia="KoPubWorld바탕체_Pro Light" w:cs="KoPubWorld바탕체_Pro Light"/>
          <w:sz w:val="16"/>
        </w:rPr>
        <w:t>채무 동결은 시간의 배분이기도 했다. 기업은 현금을 보존해 생산을 계속할 시간을 얻고 채권자는 예정된 회수를 기다려야 했다. 그 사이 기업 가치가 회복되면 모두의 손실이 줄지만, 회복 가능성이 없는 기업까지 연명하면 남은 자산이 소진된다. 동결 뒤의 사업성 심사와 퇴출 절차가 응급조치 자체만큼 중요했다.</w:t>
      </w:r>
    </w:p>
    <w:p>
      <w:pPr>
        <w:pStyle w:val="aff3"/>
        <w:spacing w:line="259" w:lineRule="auto"/>
      </w:pPr>
      <w:r>
        <w:rPr>
          <w:rFonts w:ascii="KoPubWorld바탕체_Pro Light" w:hAnsi="KoPubWorld바탕체_Pro Light" w:eastAsia="KoPubWorld바탕체_Pro Light" w:cs="KoPubWorld바탕체_Pro Light"/>
          <w:sz w:val="16"/>
        </w:rPr>
        <w:t>사법적 회생은 채권자 집단을 분류하고 법원이 계획을 심사하지만 긴급명령은 속도를 위해 넓은 계약을 일괄 변경했다. 위기 때의 신속성이 왜 필요했는지와 재산권 제한의 비례성을 함께 평가해야 한다. ‘경제 전체를 살렸다’는 결과 서술만으로 개별 손실의 공정성이 자동 정당화되지는 않는다.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실명은 통제인가 투명성인가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개발금융의 행정적 배분은 실명 없는 거래와도 공존했다. 차명 예금과 무기명 자금은 세금과 감독을 피하는 통로가 되었고, 정책자금의 최종 수혜자를 추적하기 어렵게 했다. 1982년 금융실명거래에 관한 법률이 제정되었지만 핵심 실명 의무의 시행은 대통령령이 정하는 시점 이후로 미뤄졌다.</w:t>
      </w:r>
      <w:r>
        <w:rPr>
          <w:rFonts w:ascii="KoPubWorld바탕체_Pro Light" w:hAnsi="KoPubWorld바탕체_Pro Light" w:eastAsia="KoPubWorld바탕체_Pro Light" w:cs="KoPubWorld바탕체_Pro Light"/>
          <w:sz w:val="14"/>
          <w:vertAlign w:val="superscript"/>
        </w:rPr>
        <w:t>152</w:t>
      </w:r>
      <w:r>
        <w:rPr>
          <w:rFonts w:ascii="KoPubWorld바탕체_Pro Light" w:hAnsi="KoPubWorld바탕체_Pro Light" w:eastAsia="KoPubWorld바탕체_Pro Light" w:cs="KoPubWorld바탕체_Pro Light"/>
          <w:sz w:val="16"/>
        </w:rPr>
        <w:t xml:space="preserve"> 법을 만들고도 집행을 유예했다는 사실은 투명성의 비용이 얼마나 정치적이었는지를 보여 준다.</w:t>
      </w:r>
    </w:p>
    <w:p>
      <w:pPr>
        <w:pStyle w:val="aff3"/>
        <w:spacing w:line="259" w:lineRule="auto"/>
      </w:pPr>
      <w:r>
        <w:rPr>
          <w:rFonts w:ascii="KoPubWorld바탕체_Pro Light" w:hAnsi="KoPubWorld바탕체_Pro Light" w:eastAsia="KoPubWorld바탕체_Pro Light" w:cs="KoPubWorld바탕체_Pro Light"/>
          <w:sz w:val="16"/>
        </w:rPr>
        <w:t>실제 전환은 1993년 8월 12일 대통령 긴급재정경제명령 제16호로 이루어졌다. 금융기관은 실명으로 거래하게 되었고 기존 비실명 자산에는 전환 의무와 차등 과세가 적용되었다.</w:t>
      </w:r>
      <w:r>
        <w:rPr>
          <w:rFonts w:ascii="KoPubWorld바탕체_Pro Light" w:hAnsi="KoPubWorld바탕체_Pro Light" w:eastAsia="KoPubWorld바탕체_Pro Light" w:cs="KoPubWorld바탕체_Pro Light"/>
          <w:sz w:val="14"/>
          <w:vertAlign w:val="superscript"/>
        </w:rPr>
        <w:t>153</w:t>
      </w:r>
      <w:r>
        <w:rPr>
          <w:rFonts w:ascii="KoPubWorld바탕체_Pro Light" w:hAnsi="KoPubWorld바탕체_Pro Light" w:eastAsia="KoPubWorld바탕체_Pro Light" w:cs="KoPubWorld바탕체_Pro Light"/>
          <w:sz w:val="16"/>
        </w:rPr>
        <w:t xml:space="preserve"> 이는 조세·반부패 정책인 동시에 금융감독의 기반을 바꾼 조치였다. 누구의 예금이고 누구에게 대출했는지 알 수 있어야 동일인 여신, 내부자 거래, 자금세탁을 규제할 수 있다.</w:t>
      </w:r>
    </w:p>
    <w:p>
      <w:pPr>
        <w:pStyle w:val="aff3"/>
        <w:spacing w:line="259" w:lineRule="auto"/>
      </w:pPr>
      <w:r>
        <w:rPr>
          <w:rFonts w:ascii="KoPubWorld바탕체_Pro Light" w:hAnsi="KoPubWorld바탕체_Pro Light" w:eastAsia="KoPubWorld바탕체_Pro Light" w:cs="KoPubWorld바탕체_Pro Light"/>
          <w:sz w:val="16"/>
        </w:rPr>
        <w:t>하지만 투명성도 양면적이다. 실명 정보가 공익을 위해 쓰이면 탈세와 특혜 대출을 줄인다. 권력이 부당하게 접근하면 정치적 감시와 사생활 침해의 도구가 된다. 따라서 실명제의 정당성은 이름을 수집하는 데서 끝나지 않고 접근 권한, 비밀보장, 목적 외 이용 금지와 책임을 함께 세울 때 생긴다. 장부를 보이게 하는 규제는 누가 그 장부를 볼 수 있는지도 규제해야 한다.</w:t>
      </w:r>
    </w:p>
    <w:p>
      <w:pPr>
        <w:pStyle w:val="aff3"/>
        <w:spacing w:line="259" w:lineRule="auto"/>
      </w:pPr>
      <w:r>
        <w:rPr>
          <w:rFonts w:ascii="KoPubWorld바탕체_Pro Light" w:hAnsi="KoPubWorld바탕체_Pro Light" w:eastAsia="KoPubWorld바탕체_Pro Light" w:cs="KoPubWorld바탕체_Pro Light"/>
          <w:sz w:val="16"/>
        </w:rPr>
        <w:t>실명제는 거래의 도덕성을 한 번에 보장하지 않았다. 실명 계좌를 통해서도 명의신탁, 계열사 우회와 복잡한 법인을 이용할 수 있다. 이름을 확인한 뒤 실제 지배자와 자금의 목적을 추적하는 고객확인·공시·감사가 이어져야 한다. 투명성은 단일 문턱이 아니라 계속 갱신되는 관계다.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성장의 엔진이 남긴 청구서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개발금융은 한국의 산업화를 설명하는 데 빼놓을 수 없다. 장기자금이 부족한 경제에서 정책은행과 정부 통제 은행은 대규모 투자를 앞당겼고, 외환과 신용을 수출 목표에 연결해 기업을 규율했다. 모든 대출이 특혜였던 것도, 모든 행정지도가 실패였던 것도 아니다. 시장이 아직 만들지 못한 장기 금융을 국가가 먼저 조직한 성과는 분명하다.</w:t>
      </w:r>
    </w:p>
    <w:p>
      <w:pPr>
        <w:pStyle w:val="aff3"/>
        <w:spacing w:line="259" w:lineRule="auto"/>
      </w:pPr>
      <w:r>
        <w:rPr>
          <w:rFonts w:ascii="KoPubWorld바탕체_Pro Light" w:hAnsi="KoPubWorld바탕체_Pro Light" w:eastAsia="KoPubWorld바탕체_Pro Light" w:cs="KoPubWorld바탕체_Pro Light"/>
          <w:sz w:val="16"/>
        </w:rPr>
        <w:t>평가는 반사실을 필요로 한다. 지원받은 기업이 성장했다는 사실만으로 정책금융의 공을 모두 인정할 수는 없다. 지원이 없어도 성장했을 기업인지, 더 나은 기업이 배제되지는 않았는지, 같은 재원으로 교육·기반시설에 투자했을 때의 효과는 어땠을지 물어야 한다. 성과의 자랑과 비용의 회계를 같은 장부에 올려야 한다.</w:t>
      </w:r>
    </w:p>
    <w:p>
      <w:pPr>
        <w:pStyle w:val="aff3"/>
        <w:spacing w:line="259" w:lineRule="auto"/>
      </w:pPr>
      <w:r>
        <w:rPr>
          <w:rFonts w:ascii="KoPubWorld바탕체_Pro Light" w:hAnsi="KoPubWorld바탕체_Pro Light" w:eastAsia="KoPubWorld바탕체_Pro Light" w:cs="KoPubWorld바탕체_Pro Light"/>
          <w:sz w:val="16"/>
        </w:rPr>
        <w:t>동시에 그 체제는 손실의 위치를 흐렸다. 낮은 예금금리의 비용은 가계에, 부실 정책대출은 은행과 중앙은행에, 기업 구제의 비용은 장래의 납세자에게 흩어졌다. 승자 기업과 관료가 가까워질수록 심사와 감독은 약해졌고, 부채가 많은 기업은 ‘너무 중요해서 쓰러뜨릴 수 없는’ 존재가 되었다. 국가가 신용을 설계할 능력과 실패를 인정할 능력은 같은 것이 아니었다.</w:t>
      </w:r>
    </w:p>
    <w:p>
      <w:pPr>
        <w:pStyle w:val="aff3"/>
        <w:spacing w:line="259" w:lineRule="auto"/>
      </w:pPr>
      <w:r>
        <w:rPr>
          <w:rFonts w:ascii="KoPubWorld바탕체_Pro Light" w:hAnsi="KoPubWorld바탕체_Pro Light" w:eastAsia="KoPubWorld바탕체_Pro Light" w:cs="KoPubWorld바탕체_Pro Light"/>
          <w:sz w:val="16"/>
        </w:rPr>
        <w:t>1980년대 이후 금리와 자본거래의 자유화가 시작된 이유도 여기에 있었다. 가격에 정보를 돌려주고 민간 금융기관의 경쟁을 키우면 행정 배분의 왜곡을 줄일 수 있다는 기대였다. 그러나 오래 통제된 은행과 기업이 갑자기 시장의 속도에 노출되면 새로운 위험이 생긴다. 돈의 방향을 국가가 정하던 체제에서 자유화된 금융으로 건너가는 다리에는 감독과 외환 유동성 규칙이 필요했다. 한국은 그 다리를 빠르게 건넜고, 1997년 그 구조의 약한 이음새에서 거대한 청구서를 받게 된다.</w:t>
      </w:r>
      <w:r>
        <w:rPr>
          <w:rFonts w:ascii="KoPubWorld바탕체_Pro Light" w:hAnsi="KoPubWorld바탕체_Pro Light" w:eastAsia="KoPubWorld바탕체_Pro Light" w:cs="KoPubWorld바탕체_Pro Light"/>
          <w:sz w:val="14"/>
          <w:vertAlign w:val="superscript"/>
        </w:rPr>
        <w:t>154</w:t>
      </w:r>
      <w:r>
        <w:rPr>
          <w:rFonts w:ascii="KoPubWorld바탕체_Pro Light" w:hAnsi="KoPubWorld바탕체_Pro Light" w:eastAsia="KoPubWorld바탕체_Pro Light" w:cs="KoPubWorld바탕체_Pro Light"/>
          <w:sz w:val="14"/>
          <w:vertAlign w:val="superscript"/>
        </w:rPr>
        <w:t>155</w:t>
      </w:r>
    </w:p>
    <w:p>
      <w:pPr>
        <w:pStyle w:val="aff2"/>
        <w:pageBreakBefore/>
        <w:spacing w:before="440"/>
        <w:jc w:val="center"/>
      </w:pPr>
      <w:r>
        <w:rPr>
          <w:rFonts w:ascii="KoPubWorld바탕체_Pro Bold" w:hAnsi="KoPubWorld바탕체_Pro Bold" w:eastAsia="KoPubWorld바탕체_Pro Bold" w:cs="KoPubWorld바탕체_Pro Bold"/>
          <w:b/>
          <w:sz w:val="24"/>
        </w:rPr>
        <w:t>Chapter. 25</w:t>
      </w:r>
    </w:p>
    <w:p>
      <w:pPr>
        <w:pStyle w:val="aff1"/>
        <w:jc w:val="center"/>
      </w:pPr>
      <w:r>
        <w:rPr>
          <w:rFonts w:ascii="KoPubWorld바탕체_Pro Bold" w:hAnsi="KoPubWorld바탕체_Pro Bold" w:eastAsia="KoPubWorld바탕체_Pro Bold" w:cs="KoPubWorld바탕체_Pro Bold"/>
          <w:b/>
          <w:sz w:val="28"/>
        </w:rPr>
        <w:t>자유화의 청구서 — 종합금융회사와 1997년 외환위기</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1997년 11월의 서울 외환딜링룸에서 전화기는 쉴 틈이 없었다. 어제까지 만기를 연장해 주던 해외 은행이 오늘은 달러를 돌려 달라고 했다. 장부에는 자산이 있었다. 기업에 빌려 준 원화 대출과 장기 투자가 남아 있었다. 그러나 오늘 갚아야 할 달러는 오늘 들어오지 않았다. 지급능력의 위기는 늘 손실에서만 시작되지 않는다. 충분한 시간을 주면 회수할 자산을 가지고도, 짧은 부채의 문이 한꺼번에 닫히면 금융회사는 멈춘다.</w:t>
      </w:r>
      <w:r>
        <w:rPr>
          <w:rFonts w:ascii="KoPubWorld바탕체_Pro Light" w:hAnsi="KoPubWorld바탕체_Pro Light" w:eastAsia="KoPubWorld바탕체_Pro Light" w:cs="KoPubWorld바탕체_Pro Light"/>
          <w:sz w:val="14"/>
          <w:vertAlign w:val="superscript"/>
        </w:rPr>
        <w:t>156</w:t>
      </w:r>
    </w:p>
    <w:p>
      <w:pPr>
        <w:pStyle w:val="aff3"/>
        <w:spacing w:line="259" w:lineRule="auto"/>
      </w:pPr>
      <w:r>
        <w:rPr>
          <w:rFonts w:ascii="KoPubWorld바탕체_Pro Light" w:hAnsi="KoPubWorld바탕체_Pro Light" w:eastAsia="KoPubWorld바탕체_Pro Light" w:cs="KoPubWorld바탕체_Pro Light"/>
          <w:sz w:val="16"/>
        </w:rPr>
        <w:t>한국 정부는 1997년 11월 21일 국제통화기금에 구제금융을 요청하기로 발표했고, 12월 3일에는 대기성 차관을 위한 의향서를 제출했다.</w:t>
      </w:r>
      <w:r>
        <w:rPr>
          <w:rFonts w:ascii="KoPubWorld바탕체_Pro Light" w:hAnsi="KoPubWorld바탕체_Pro Light" w:eastAsia="KoPubWorld바탕체_Pro Light" w:cs="KoPubWorld바탕체_Pro Light"/>
          <w:sz w:val="14"/>
          <w:vertAlign w:val="superscript"/>
        </w:rPr>
        <w:t>156</w:t>
      </w:r>
      <w:r>
        <w:rPr>
          <w:rFonts w:ascii="KoPubWorld바탕체_Pro Light" w:hAnsi="KoPubWorld바탕체_Pro Light" w:eastAsia="KoPubWorld바탕체_Pro Light" w:cs="KoPubWorld바탕체_Pro Light"/>
          <w:sz w:val="14"/>
          <w:vertAlign w:val="superscript"/>
        </w:rPr>
        <w:t>157</w:t>
      </w:r>
      <w:r>
        <w:rPr>
          <w:rFonts w:ascii="KoPubWorld바탕체_Pro Light" w:hAnsi="KoPubWorld바탕체_Pro Light" w:eastAsia="KoPubWorld바탕체_Pro Light" w:cs="KoPubWorld바탕체_Pro Light"/>
          <w:sz w:val="16"/>
        </w:rPr>
        <w:t xml:space="preserve"> 17장이 태국에서 한국으로 번진 지역적 감염과 국제 채권자의 동시 회수를 살폈다면, 이 장은 서울의 장부 안으로 들어간다. ‘외환위기’라는 이름은 달러 부족을 정확히 가리키지만, 원인은 환율판 하나에만 있지 않았다. 기업의 높은 부채, 은행의 부실 심사, 종합금융회사의 만기·통화 불일치, 분절된 감독, 개방의 순서가 서로 맞물렸다. 자유화는 위험을 만든 단독 범인이 아니었다. 위험을 더 빠르게 쌓고 더 멀리 전염시킬 수 있는 통로를 열었는데, 그 통로를 감시할 규칙이 뒤따르지 못했다.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금리를 풀면 심사가 시작되는가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개발금융 체제에서 금리는 자금의 가격이면서 행정 배분의 표지였다. 정부가 예금과 대출 금리를 묶고 부문별 신용을 지도하면 은행은 위험에 따라 가격을 세밀하게 매길 이유가 적었다. 낮은 공식 금리는 선택된 기업에 보조금처럼 작동했고, 배정에서 밀린 수요는 사채와 제2금융권으로 이동했다. 자유화의 약속은 가격에 정보를 돌려주는 것이었다.</w:t>
      </w:r>
    </w:p>
    <w:p>
      <w:pPr>
        <w:pStyle w:val="aff3"/>
        <w:spacing w:line="259" w:lineRule="auto"/>
      </w:pPr>
      <w:r>
        <w:rPr>
          <w:rFonts w:ascii="KoPubWorld바탕체_Pro Light" w:hAnsi="KoPubWorld바탕체_Pro Light" w:eastAsia="KoPubWorld바탕체_Pro Light" w:cs="KoPubWorld바탕체_Pro Light"/>
          <w:sz w:val="16"/>
        </w:rPr>
        <w:t>한국은 1991년부터 네 단계의 금리자유화 계획을 추진했고, 남아 있던 요구불예금 금리 규제까지 2004년에 폐지하면서 긴 전환을 마무리했다.</w:t>
      </w:r>
      <w:r>
        <w:rPr>
          <w:rFonts w:ascii="KoPubWorld바탕체_Pro Light" w:hAnsi="KoPubWorld바탕체_Pro Light" w:eastAsia="KoPubWorld바탕체_Pro Light" w:cs="KoPubWorld바탕체_Pro Light"/>
          <w:sz w:val="14"/>
          <w:vertAlign w:val="superscript"/>
        </w:rPr>
        <w:t>154</w:t>
      </w:r>
      <w:r>
        <w:rPr>
          <w:rFonts w:ascii="KoPubWorld바탕체_Pro Light" w:hAnsi="KoPubWorld바탕체_Pro Light" w:eastAsia="KoPubWorld바탕체_Pro Light" w:cs="KoPubWorld바탕체_Pro Light"/>
          <w:sz w:val="16"/>
        </w:rPr>
        <w:t xml:space="preserve"> 금리가 움직이면 위험한 차주에게 더 높은 가격을 붙이고, 예금자는 더 나은 수익을 주는 금융기관을 선택할 수 있다. 경쟁은 비효율적 은행을 압박하고 자금이 생산성 높은 곳으로 흐르게 할 것이라는 기대가 있었다.</w:t>
      </w:r>
    </w:p>
    <w:p>
      <w:pPr>
        <w:pStyle w:val="aff3"/>
        <w:spacing w:line="259" w:lineRule="auto"/>
      </w:pPr>
      <w:r>
        <w:rPr>
          <w:rFonts w:ascii="KoPubWorld바탕체_Pro Light" w:hAnsi="KoPubWorld바탕체_Pro Light" w:eastAsia="KoPubWorld바탕체_Pro Light" w:cs="KoPubWorld바탕체_Pro Light"/>
          <w:sz w:val="16"/>
        </w:rPr>
        <w:t>그러나 가격을 자유롭게 한다고 심사 능력이 자동으로 생기지는 않는다. 오랫동안 담보와 정책 목표를 따라 대출해 온 조직이 현금흐름과 산업 위험을 평가하려면 데이터, 인력, 회계와 책임 체계가 필요하다. 경영자는 점유율을 잃지 않으려 고금리로 자금을 모으고 더 위험한 자산을 살 수 있다. 예금자가 금융회사의 장부를 완전히 알 수 없고 실패 때 정부가 구제할 것이라고 믿는다면, 높은 금리는 경고가 아니라 매력으로 보인다.</w:t>
      </w:r>
    </w:p>
    <w:p>
      <w:pPr>
        <w:pStyle w:val="aff3"/>
        <w:spacing w:line="259" w:lineRule="auto"/>
      </w:pPr>
      <w:r>
        <w:rPr>
          <w:rFonts w:ascii="KoPubWorld바탕체_Pro Light" w:hAnsi="KoPubWorld바탕체_Pro Light" w:eastAsia="KoPubWorld바탕체_Pro Light" w:cs="KoPubWorld바탕체_Pro Light"/>
          <w:sz w:val="16"/>
        </w:rPr>
        <w:t>자유화 초기에 수익성 경쟁이 강해지면 ‘나쁜 위험’과 ‘새로운 기회’를 구별하기 특히 어렵다. 과거에는 금지되었던 상품과 해외 차입이 빠르게 늘고, 호황의 담보가격은 손실 가능성을 가린다. 감독자가 옛 규정의 준수 여부만 확인하면 위험은 규정이 없는 영역으로 이동한다. 가격 자유화와 함께 필요한 것은 더 적은 감독이 아니라 다른 감독이었다. 개별 거래의 승인에서 자본, 유동성, 집중도와 내부통제를 보는 쪽으로 초점이 옮겨가야 했다.</w:t>
      </w:r>
    </w:p>
    <w:p>
      <w:pPr>
        <w:pStyle w:val="aff3"/>
        <w:spacing w:line="259" w:lineRule="auto"/>
      </w:pPr>
      <w:r>
        <w:rPr>
          <w:rFonts w:ascii="KoPubWorld바탕체_Pro Light" w:hAnsi="KoPubWorld바탕체_Pro Light" w:eastAsia="KoPubWorld바탕체_Pro Light" w:cs="KoPubWorld바탕체_Pro Light"/>
          <w:sz w:val="16"/>
        </w:rPr>
        <w:t>자유화의 순서는 속도만큼 중요하다. 금리와 해외차입을 먼저 풀고 부실채권 인식, 회계공시와 파산 절차를 나중에 고치면 금융기관은 위험의 가격을 제대로 매기지 못한 채 경쟁에 들어간다. 반대로 감독 능력이 완벽해질 때까지 모든 문을 닫으면 기존 특혜와 비효율이 굳어진다. 단계별 문턱과 조기경보를 두어 학습의 비용을 제한해야 했다.</w:t>
      </w:r>
    </w:p>
    <w:p>
      <w:pPr>
        <w:pStyle w:val="aff3"/>
        <w:spacing w:line="259" w:lineRule="auto"/>
      </w:pPr>
      <w:r>
        <w:rPr>
          <w:rFonts w:ascii="KoPubWorld바탕체_Pro Light" w:hAnsi="KoPubWorld바탕체_Pro Light" w:eastAsia="KoPubWorld바탕체_Pro Light" w:cs="KoPubWorld바탕체_Pro Light"/>
          <w:sz w:val="16"/>
        </w:rPr>
        <w:t>암묵적 보증을 거두는 신호도 일관되어야 한다. 평상시에는 민간 책임을 말하다가 큰 기관이 흔들릴 때 모든 채권자를 구하면 시장은 다음에도 구제를 예상한다. 그렇다고 첫 위기에서 갑자기 보증을 끊으면 이미 그 기대에 따라 쌓인 부채가 한꺼번에 무너진다. 자유화는 계약의 자유뿐 아니라 보증의 전환 계획을 요구한다.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종금사라는 경계의 사업자</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종합금융회사는 은행·증권·외환 업무의 경계에 걸친 기관이었다. 기업어음과 단기 금융, 리스와 국제금융을 다루며 빠르게 성장했다. 은행보다 유연하고 자본시장에 가까운 중개자로서 기업의 자금 선택을 넓혔다. 정부가 금융산업의 경쟁과 국제화를 추진할 때 종금사는 규제된 은행 체제의 답답함을 풀어 줄 통로처럼 보였다.</w:t>
      </w:r>
    </w:p>
    <w:p>
      <w:pPr>
        <w:pStyle w:val="aff3"/>
        <w:spacing w:line="259" w:lineRule="auto"/>
      </w:pPr>
      <w:r>
        <w:rPr>
          <w:rFonts w:ascii="KoPubWorld바탕체_Pro Light" w:hAnsi="KoPubWorld바탕체_Pro Light" w:eastAsia="KoPubWorld바탕체_Pro Light" w:cs="KoPubWorld바탕체_Pro Light"/>
          <w:sz w:val="16"/>
        </w:rPr>
        <w:t>경계에 있다는 것은 규제차익의 기회이기도 했다. 경제적으로 비슷한 신용을 공급해도 기관의 법적 이름에 따라 자본과 유동성, 외환건전성 규칙이 달랐다. 은행에 엄격한 제한을 두면 거래는 더 가벼운 규칙을 적용받는 종금사로 이동한다. 감독기관이 업권별로 나뉘어 있으면 한 기업집단에 대한 전체 익스포저와 해외 단기차입을 한 화면에서 보기 어렵다.</w:t>
      </w:r>
    </w:p>
    <w:p>
      <w:pPr>
        <w:pStyle w:val="aff3"/>
        <w:spacing w:line="259" w:lineRule="auto"/>
      </w:pPr>
      <w:r>
        <w:rPr>
          <w:rFonts w:ascii="KoPubWorld바탕체_Pro Light" w:hAnsi="KoPubWorld바탕체_Pro Light" w:eastAsia="KoPubWorld바탕체_Pro Light" w:cs="KoPubWorld바탕체_Pro Light"/>
          <w:sz w:val="16"/>
        </w:rPr>
        <w:t>1997년 말 종합금융회사는 30곳에 이르렀다. 위기 속에서 14곳의 영업이 정지되었고, 그 가운데 10곳은 1998년 1월 폐쇄되었다.</w:t>
      </w:r>
      <w:r>
        <w:rPr>
          <w:rFonts w:ascii="KoPubWorld바탕체_Pro Light" w:hAnsi="KoPubWorld바탕체_Pro Light" w:eastAsia="KoPubWorld바탕체_Pro Light" w:cs="KoPubWorld바탕체_Pro Light"/>
          <w:sz w:val="14"/>
          <w:vertAlign w:val="superscript"/>
        </w:rPr>
        <w:t>158</w:t>
      </w:r>
      <w:r>
        <w:rPr>
          <w:rFonts w:ascii="KoPubWorld바탕체_Pro Light" w:hAnsi="KoPubWorld바탕체_Pro Light" w:eastAsia="KoPubWorld바탕체_Pro Light" w:cs="KoPubWorld바탕체_Pro Light"/>
          <w:sz w:val="14"/>
          <w:vertAlign w:val="superscript"/>
        </w:rPr>
        <w:t>159</w:t>
      </w:r>
      <w:r>
        <w:rPr>
          <w:rFonts w:ascii="KoPubWorld바탕체_Pro Light" w:hAnsi="KoPubWorld바탕체_Pro Light" w:eastAsia="KoPubWorld바탕체_Pro Light" w:cs="KoPubWorld바탕체_Pro Light"/>
          <w:sz w:val="16"/>
        </w:rPr>
        <w:t xml:space="preserve"> 숫자가 말해 주는 것은 업종 전체가 나빴다는 단순한 결론이 아니다. 같은 이름 아래에서도 자산 건전성, 자금 조달, 계열 관계가 달랐지만 위기가 오면 시장은 세밀하게 구별하지 않는다. 일부의 부실이 알려지면 해외 채권자는 업권과 나라 전체의 한도를 줄인다.</w:t>
      </w:r>
    </w:p>
    <w:p>
      <w:pPr>
        <w:pStyle w:val="aff3"/>
        <w:spacing w:line="259" w:lineRule="auto"/>
      </w:pPr>
      <w:r>
        <w:rPr>
          <w:rFonts w:ascii="KoPubWorld바탕체_Pro Light" w:hAnsi="KoPubWorld바탕체_Pro Light" w:eastAsia="KoPubWorld바탕체_Pro Light" w:cs="KoPubWorld바탕체_Pro Light"/>
          <w:sz w:val="16"/>
        </w:rPr>
        <w:t>종금사의 취약성은 유동성 변환에서 커졌다. 해외에서 짧은 만기의 외화를 빌려 국내 기업의 더 긴 원화 자산과 동남아시아 등 해외 자산에 운용하면 평상시에는 금리 차와 성장의 이익을 얻는다. 환율이 안정되고 차환이 계속되는 동안 장부는 건강해 보인다. 하지만 원화가 떨어지면 갚아야 할 부채의 원화 가치가 늘고, 해외 채권자가 만기를 연장하지 않으면 자산을 급히 팔아야 한다. 싸게 빌려 오래 운용한 수익은 사적이지만 차환 중단의 충격은 결제망과 기업 자금시장으로 퍼진다.</w:t>
      </w:r>
    </w:p>
    <w:p>
      <w:pPr>
        <w:pStyle w:val="aff3"/>
        <w:spacing w:line="259" w:lineRule="auto"/>
      </w:pPr>
      <w:r>
        <w:rPr>
          <w:rFonts w:ascii="KoPubWorld바탕체_Pro Light" w:hAnsi="KoPubWorld바탕체_Pro Light" w:eastAsia="KoPubWorld바탕체_Pro Light" w:cs="KoPubWorld바탕체_Pro Light"/>
          <w:sz w:val="16"/>
        </w:rPr>
        <w:t>여기서 ‘외채가 많았다’보다 중요한 질문은 만기와 책임이었다. 만기가 짧을수록 채권자는 자주 재심사할 수 있고 차입자는 낮은 비용을 누린다. 동시에 모든 채권자가 동시에 빠져나갈 수 있는 문이 많아진다. 개별 금융회사는 자신만 먼저 차환하면 된다고 생각하지만, 시스템 전체는 같은 달러 유동성에 의존한다. 거시건전성 규제는 바로 이 합리성의 틈을 겨냥한다.</w:t>
      </w:r>
    </w:p>
    <w:p>
      <w:pPr>
        <w:pStyle w:val="aff3"/>
        <w:spacing w:line="259" w:lineRule="auto"/>
      </w:pPr>
      <w:r>
        <w:rPr>
          <w:rFonts w:ascii="KoPubWorld바탕체_Pro Light" w:hAnsi="KoPubWorld바탕체_Pro Light" w:eastAsia="KoPubWorld바탕체_Pro Light" w:cs="KoPubWorld바탕체_Pro Light"/>
          <w:sz w:val="16"/>
        </w:rPr>
        <w:t>외화 유동성 완충은 평상시 수익을 낮춘다. 짧고 싼 달러 대신 더 긴 부채를 쓰고 현금성 외화를 보유하면 경쟁사보다 이익이 작아 보인다. 그래서 개별 경영자의 자율에만 맡기기 어렵다. 만기별 현금유출, 통화별 미스매치와 차환 불능 시나리오에 공통 최소선을 두어야 ‘먼저 위험을 늘린 회사’가 가격 경쟁에서 이기는 일을 막는다.</w:t>
      </w:r>
    </w:p>
    <w:p>
      <w:pPr>
        <w:pStyle w:val="aff3"/>
        <w:spacing w:line="259" w:lineRule="auto"/>
      </w:pPr>
      <w:r>
        <w:rPr>
          <w:rFonts w:ascii="KoPubWorld바탕체_Pro Light" w:hAnsi="KoPubWorld바탕체_Pro Light" w:eastAsia="KoPubWorld바탕체_Pro Light" w:cs="KoPubWorld바탕체_Pro Light"/>
          <w:sz w:val="16"/>
        </w:rPr>
        <w:t>헤지 계약도 상대방이 살아 있을 때만 보호한다. 여러 금융기관이 같은 환율 충격을 헤지하려 하면 반대편의 담보 요구와 증거금이 동시에 늘 수 있다. 장부상 순노출뿐 아니라 헤지의 만기, 담보와 상대방 집중을 함께 보아야 한다. 위기의 달러 수요는 원금 상환과 파생계약 증거금에서 동시에 온다.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달러는 마지막 순간에만 부족해진 것이 아니다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한국은행의 사후 연구는 위기가 단순히 국제 투기자금의 갑작스러운 공격 때문이라기보다 국내 은행과 종금사의 외채 차환율이 크게 떨어진 데서 폭발했으며, 금융기관 부실의 누적과 외환자유화의 순서, 감독 결함을 함께 보아야 한다고 지적했다.</w:t>
      </w:r>
      <w:r>
        <w:rPr>
          <w:rFonts w:ascii="KoPubWorld바탕체_Pro Light" w:hAnsi="KoPubWorld바탕체_Pro Light" w:eastAsia="KoPubWorld바탕체_Pro Light" w:cs="KoPubWorld바탕체_Pro Light"/>
          <w:sz w:val="14"/>
          <w:vertAlign w:val="superscript"/>
        </w:rPr>
        <w:t>155</w:t>
      </w:r>
      <w:r>
        <w:rPr>
          <w:rFonts w:ascii="KoPubWorld바탕체_Pro Light" w:hAnsi="KoPubWorld바탕체_Pro Light" w:eastAsia="KoPubWorld바탕체_Pro Light" w:cs="KoPubWorld바탕체_Pro Light"/>
          <w:sz w:val="16"/>
        </w:rPr>
        <w:t xml:space="preserve"> 외화가 고갈된 날은 원인이 생긴 날이 아니라 이전 선택들이 결제 시점에 모인 날이었다.</w:t>
      </w:r>
    </w:p>
    <w:p>
      <w:pPr>
        <w:pStyle w:val="aff3"/>
        <w:spacing w:line="259" w:lineRule="auto"/>
      </w:pPr>
      <w:r>
        <w:rPr>
          <w:rFonts w:ascii="KoPubWorld바탕체_Pro Light" w:hAnsi="KoPubWorld바탕체_Pro Light" w:eastAsia="KoPubWorld바탕체_Pro Light" w:cs="KoPubWorld바탕체_Pro Light"/>
          <w:sz w:val="16"/>
        </w:rPr>
        <w:t>기업은 성장과 시장점유율을 위해 차입을 늘렸고, 금융기관은 대기업이 결국 지원받을 것이라는 기대 속에서 현금흐름보다 규모와 담보를 중시했다. 해외 채권자는 국가의 고성장과 암묵적 보증을 보고 짧게 빌려 주었다. 각각의 판단에는 이유가 있었지만 손실 부담의 경계가 흐렸다. 주주는 상승 이익을 얻고, 만기 짧은 채권자는 먼저 빠질 수 있으며, 부실이 커지면 은행과 정부가 남는다.</w:t>
      </w:r>
    </w:p>
    <w:p>
      <w:pPr>
        <w:pStyle w:val="aff3"/>
        <w:spacing w:line="259" w:lineRule="auto"/>
      </w:pPr>
      <w:r>
        <w:rPr>
          <w:rFonts w:ascii="KoPubWorld바탕체_Pro Light" w:hAnsi="KoPubWorld바탕체_Pro Light" w:eastAsia="KoPubWorld바탕체_Pro Light" w:cs="KoPubWorld바탕체_Pro Light"/>
          <w:sz w:val="16"/>
        </w:rPr>
        <w:t>공시는 이 연결을 충분히 보여 주지 못했다. 개별 회사의 부채가 어느 통화로 언제 만기되는지, 계열사 보증과 부외 거래가 얼마나 되는지, 여러 금융기관이 같은 기업과 자산에 얼마나 집중했는지가 즉시 드러나지 않았다. 감독도 은행·증권·보험·종금으로 갈라져 있었다. 위기는 정보가 전혀 없어서라기보다 정보가 서로 다른 장부와 기관에 흩어져 전체 그림을 만들지 못했기 때문에 더 커졌다.</w:t>
      </w:r>
    </w:p>
    <w:p>
      <w:pPr>
        <w:pStyle w:val="aff3"/>
        <w:spacing w:line="259" w:lineRule="auto"/>
      </w:pPr>
      <w:r>
        <w:rPr>
          <w:rFonts w:ascii="KoPubWorld바탕체_Pro Light" w:hAnsi="KoPubWorld바탕체_Pro Light" w:eastAsia="KoPubWorld바탕체_Pro Light" w:cs="KoPubWorld바탕체_Pro Light"/>
          <w:sz w:val="16"/>
        </w:rPr>
        <w:t>외환보유액도 표면 숫자와 실제 사용 가능액을 구별해야 했다. 중앙은행이 국내 금융기관의 해외 지점에 외화를 예치해 상환을 돕는다면 총액은 남아 보여도 즉시 동원할 여유는 줄어든다. 위기 때 시장은 공식 발표보다 ‘오늘 쓸 수 있는 달러’를 묻는다. 유동성 규제의 본질은 평상시 평균이 아니라 스트레스 상황의 현금흐름표를 미리 그리는 데 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12월의 응급실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1997년 12월 3일 의향서에서 정부는 국제통화기금에 155억 특별인출권 규모의 지원을 요청했다. 프로그램에는 회생 불가능한 금융기관의 퇴출, 통합 감독, 한국은행의 독립 강화, 자본시장 개방, 기업 공시와 지배구조 개선이 함께 들어갔다.</w:t>
      </w:r>
      <w:r>
        <w:rPr>
          <w:rFonts w:ascii="KoPubWorld바탕체_Pro Light" w:hAnsi="KoPubWorld바탕체_Pro Light" w:eastAsia="KoPubWorld바탕체_Pro Light" w:cs="KoPubWorld바탕체_Pro Light"/>
          <w:sz w:val="14"/>
          <w:vertAlign w:val="superscript"/>
        </w:rPr>
        <w:t>157</w:t>
      </w:r>
      <w:r>
        <w:rPr>
          <w:rFonts w:ascii="KoPubWorld바탕체_Pro Light" w:hAnsi="KoPubWorld바탕체_Pro Light" w:eastAsia="KoPubWorld바탕체_Pro Light" w:cs="KoPubWorld바탕체_Pro Light"/>
          <w:sz w:val="16"/>
        </w:rPr>
        <w:t xml:space="preserve"> 환율을 안정시키는 단기 처방과 금융·기업의 구조를 바꾸는 장기 수술이 한 문서에 묶였다.</w:t>
      </w:r>
    </w:p>
    <w:p>
      <w:pPr>
        <w:pStyle w:val="aff3"/>
        <w:spacing w:line="259" w:lineRule="auto"/>
      </w:pPr>
      <w:r>
        <w:rPr>
          <w:rFonts w:ascii="KoPubWorld바탕체_Pro Light" w:hAnsi="KoPubWorld바탕체_Pro Light" w:eastAsia="KoPubWorld바탕체_Pro Light" w:cs="KoPubWorld바탕체_Pro Light"/>
          <w:sz w:val="16"/>
        </w:rPr>
        <w:t>상황은 첫 합의 뒤에도 가라앉지 않았다. 12월 24일 콜금리는 약 30퍼센트에 이르렀고, 정부는 14개 부실 종금사의 영업정지, 예금 전액보장에 필요한 제도 조치, 단기 외화차입에 대한 건전성 통제 등을 약속했다.</w:t>
      </w:r>
      <w:r>
        <w:rPr>
          <w:rFonts w:ascii="KoPubWorld바탕체_Pro Light" w:hAnsi="KoPubWorld바탕체_Pro Light" w:eastAsia="KoPubWorld바탕체_Pro Light" w:cs="KoPubWorld바탕체_Pro Light"/>
          <w:sz w:val="14"/>
          <w:vertAlign w:val="superscript"/>
        </w:rPr>
        <w:t>158</w:t>
      </w:r>
      <w:r>
        <w:rPr>
          <w:rFonts w:ascii="KoPubWorld바탕체_Pro Light" w:hAnsi="KoPubWorld바탕체_Pro Light" w:eastAsia="KoPubWorld바탕체_Pro Light" w:cs="KoPubWorld바탕체_Pro Light"/>
          <w:sz w:val="16"/>
        </w:rPr>
        <w:t xml:space="preserve"> 높은 금리는 원화 보유의 유인을 높이고 자본 유출을 막기 위한 응급조치였지만 원화 부채가 많은 기업에는 더 큰 부담이었다. 외환을 지키는 약이 기업의 지급능력을 해칠 수 있는 딜레마였다.</w:t>
      </w:r>
    </w:p>
    <w:p>
      <w:pPr>
        <w:pStyle w:val="aff3"/>
        <w:spacing w:line="259" w:lineRule="auto"/>
      </w:pPr>
      <w:r>
        <w:rPr>
          <w:rFonts w:ascii="KoPubWorld바탕체_Pro Light" w:hAnsi="KoPubWorld바탕체_Pro Light" w:eastAsia="KoPubWorld바탕체_Pro Light" w:cs="KoPubWorld바탕체_Pro Light"/>
          <w:sz w:val="16"/>
        </w:rPr>
        <w:t>예금 전액보장은 뱅크런을 멈추기 위한 방화문이었다. 한국은 1995년 예금자보호법을 제정해 1996년 6월 시행했고 1997년부터 예금보험 업무를 시작했지만, 위기의 규모는 제한보호 체계가 감당할 신뢰를 넘어섰다.</w:t>
      </w:r>
      <w:r>
        <w:rPr>
          <w:rFonts w:ascii="KoPubWorld바탕체_Pro Light" w:hAnsi="KoPubWorld바탕체_Pro Light" w:eastAsia="KoPubWorld바탕체_Pro Light" w:cs="KoPubWorld바탕체_Pro Light"/>
          <w:sz w:val="14"/>
          <w:vertAlign w:val="superscript"/>
        </w:rPr>
        <w:t>160</w:t>
      </w:r>
      <w:r>
        <w:rPr>
          <w:rFonts w:ascii="KoPubWorld바탕체_Pro Light" w:hAnsi="KoPubWorld바탕체_Pro Light" w:eastAsia="KoPubWorld바탕체_Pro Light" w:cs="KoPubWorld바탕체_Pro Light"/>
          <w:sz w:val="16"/>
        </w:rPr>
        <w:t xml:space="preserve"> 정부는 1997년 11월 19일부터 2000년 말까지 한시적 전액보호를 시행했다.</w:t>
      </w:r>
      <w:r>
        <w:rPr>
          <w:rFonts w:ascii="KoPubWorld바탕체_Pro Light" w:hAnsi="KoPubWorld바탕체_Pro Light" w:eastAsia="KoPubWorld바탕체_Pro Light" w:cs="KoPubWorld바탕체_Pro Light"/>
          <w:sz w:val="14"/>
          <w:vertAlign w:val="superscript"/>
        </w:rPr>
        <w:t>161</w:t>
      </w:r>
      <w:r>
        <w:rPr>
          <w:rFonts w:ascii="KoPubWorld바탕체_Pro Light" w:hAnsi="KoPubWorld바탕체_Pro Light" w:eastAsia="KoPubWorld바탕체_Pro Light" w:cs="KoPubWorld바탕체_Pro Light"/>
          <w:sz w:val="16"/>
        </w:rPr>
        <w:t xml:space="preserve"> 예금자를 안심시킨 대신 금융기관의 위험을 세금과 공적기금 쪽으로 옮겼다.</w:t>
      </w:r>
    </w:p>
    <w:p>
      <w:pPr>
        <w:pStyle w:val="aff3"/>
        <w:spacing w:line="259" w:lineRule="auto"/>
      </w:pPr>
      <w:r>
        <w:rPr>
          <w:rFonts w:ascii="KoPubWorld바탕체_Pro Light" w:hAnsi="KoPubWorld바탕체_Pro Light" w:eastAsia="KoPubWorld바탕체_Pro Light" w:cs="KoPubWorld바탕체_Pro Light"/>
          <w:sz w:val="16"/>
        </w:rPr>
        <w:t>응급실에서는 먼저 출혈을 막아야 한다. 그러나 누구를 보호했는지 사후에 계산해야 한다. 소액 예금자의 결제를 지키는 것과 금융기관 주주·경영진의 손실을 보전하는 것은 다르다. 국제 채권자의 만기를 연장하는 것과 원래 위험을 감수한 투자자의 수익을 보장하는 것도 다르다. 위기관리의 정당성은 ‘구제했는가’가 아니라 주주, 후순위 채권자, 예금자와 납세자의 손실 순서를 얼마나 명확히 했는가에서 나온다.</w:t>
      </w:r>
    </w:p>
    <w:p>
      <w:pPr>
        <w:pStyle w:val="aff3"/>
        <w:spacing w:line="259" w:lineRule="auto"/>
      </w:pPr>
      <w:r>
        <w:rPr>
          <w:rFonts w:ascii="KoPubWorld바탕체_Pro Light" w:hAnsi="KoPubWorld바탕체_Pro Light" w:eastAsia="KoPubWorld바탕체_Pro Light" w:cs="KoPubWorld바탕체_Pro Light"/>
          <w:sz w:val="16"/>
        </w:rPr>
        <w:t>전액보장은 발표보다 종료가 어렵다. 한시 조치의 끝이 다가올 때 예금자는 약한 금융회사에서 먼저 돈을 옮길 수 있고, 정부는 불안을 피하려 연장 압력을 받는다. 종료 날짜, 제한보호 한도와 부실기관 정리를 함께 준비해야 신뢰가 보험의 무제한 확대에만 기대지 않는다.</w:t>
      </w:r>
    </w:p>
    <w:p>
      <w:pPr>
        <w:pStyle w:val="aff3"/>
        <w:spacing w:line="259" w:lineRule="auto"/>
      </w:pPr>
      <w:r>
        <w:rPr>
          <w:rFonts w:ascii="KoPubWorld바탕체_Pro Light" w:hAnsi="KoPubWorld바탕체_Pro Light" w:eastAsia="KoPubWorld바탕체_Pro Light" w:cs="KoPubWorld바탕체_Pro Light"/>
          <w:sz w:val="16"/>
        </w:rPr>
        <w:t>국제 지원의 조건은 국내 제도개혁을 빠르게 했지만 민주적 정당성의 질문도 남겼다. 외화가 급한 시점에는 협상력이 비대칭적이고, 단기 안정과 장기 제도 선택이 한 패키지에 묶인다. 어떤 조치가 즉각 필요한 응급조건이었고 어떤 조치가 국내 숙의로 선택할 구조개혁이었는지 사후에라도 구별해 평가해야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자유화 뒤에 필요한 국가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1997년 위기는 시장이 많아서 생겼거나 국가가 적어서 생겼다는 한 문장으로 정리되지 않는다. 국가는 오랫동안 신용을 배분하며 기업과 금융기관에 암묵적 보증의 기대를 심었다. 이어 가격과 국경을 열었지만 그 기대를 분명히 거두지 않았고, 위험 기반 심사와 통합 감독은 늦었다. 민간은 자유화된 수단을 사용했으나 손실이 나면 국가가 막아 줄 가능성을 가격에 반영했다. 통제의 유산과 자유화의 속도가 결합했다.</w:t>
      </w:r>
      <w:r>
        <w:rPr>
          <w:rFonts w:ascii="KoPubWorld바탕체_Pro Light" w:hAnsi="KoPubWorld바탕체_Pro Light" w:eastAsia="KoPubWorld바탕체_Pro Light" w:cs="KoPubWorld바탕체_Pro Light"/>
          <w:sz w:val="14"/>
          <w:vertAlign w:val="superscript"/>
        </w:rPr>
        <w:t>155</w:t>
      </w:r>
    </w:p>
    <w:p>
      <w:pPr>
        <w:pStyle w:val="aff3"/>
        <w:spacing w:line="259" w:lineRule="auto"/>
      </w:pPr>
      <w:r>
        <w:rPr>
          <w:rFonts w:ascii="KoPubWorld바탕체_Pro Light" w:hAnsi="KoPubWorld바탕체_Pro Light" w:eastAsia="KoPubWorld바탕체_Pro Light" w:cs="KoPubWorld바탕체_Pro Light"/>
          <w:sz w:val="16"/>
        </w:rPr>
        <w:t>위기 뒤의 개혁은 자유화를 되돌리는 데 집중하지 않았다. 오히려 자본시장 개방과 시장 규율을 더 밀어붙이면서 감독과 중앙은행, 예금보험, 기업회계의 제도를 다시 짰다. 시장을 작동시키려면 실패를 인정하고 정리할 국가 역량이 필요하다는 판단이었다. 부실기관을 닫고 주주 자본을 줄이며 공적자금의 조건을 공개하는 일은 자유시장 바깥의 예외가 아니라 그 시장의 청산 규칙이었다.</w:t>
      </w:r>
    </w:p>
    <w:p>
      <w:pPr>
        <w:pStyle w:val="aff3"/>
        <w:spacing w:line="259" w:lineRule="auto"/>
      </w:pPr>
      <w:r>
        <w:rPr>
          <w:rFonts w:ascii="KoPubWorld바탕체_Pro Light" w:hAnsi="KoPubWorld바탕체_Pro Light" w:eastAsia="KoPubWorld바탕체_Pro Light" w:cs="KoPubWorld바탕체_Pro Light"/>
          <w:sz w:val="16"/>
        </w:rPr>
        <w:t>국내 감독개편의 방향도 이 위기의 구조를 따라 정해졌다. 은행·증권·보험·종금으로 나뉜 업권별 화면을 연결하고, 한 기업집단과 금융그룹의 위험을 묶어 보며, 회생 불가능한 기관에 조기 시정과 퇴출을 명령할 체계를 만들려 했다.</w:t>
      </w:r>
      <w:r>
        <w:rPr>
          <w:rFonts w:ascii="KoPubWorld바탕체_Pro Light" w:hAnsi="KoPubWorld바탕체_Pro Light" w:eastAsia="KoPubWorld바탕체_Pro Light" w:cs="KoPubWorld바탕체_Pro Light"/>
          <w:sz w:val="14"/>
          <w:vertAlign w:val="superscript"/>
        </w:rPr>
        <w:t>157</w:t>
      </w:r>
      <w:r>
        <w:rPr>
          <w:rFonts w:ascii="KoPubWorld바탕체_Pro Light" w:hAnsi="KoPubWorld바탕체_Pro Light" w:eastAsia="KoPubWorld바탕체_Pro Light" w:cs="KoPubWorld바탕체_Pro Light"/>
          <w:sz w:val="16"/>
        </w:rPr>
        <w:t xml:space="preserve"> 조직을 합치는 것만으로 좋은 감독이 완성되지는 않는다. 그러나 종금사라는 경계에서 규제차익이 커졌다는 경험은 비슷한 기능에 비슷한 건전성 질문을 던지고 그룹 전체의 만기와 통화를 합산해야 한다는 분명한 과제를 남겼다. 그 조직의 법적 구조와 책임 문제는 다음 장에서 이어진다.</w:t>
      </w:r>
    </w:p>
    <w:p>
      <w:pPr>
        <w:pStyle w:val="aff3"/>
        <w:spacing w:line="259" w:lineRule="auto"/>
      </w:pPr>
      <w:r>
        <w:rPr>
          <w:rFonts w:ascii="KoPubWorld바탕체_Pro Light" w:hAnsi="KoPubWorld바탕체_Pro Light" w:eastAsia="KoPubWorld바탕체_Pro Light" w:cs="KoPubWorld바탕체_Pro Light"/>
          <w:sz w:val="16"/>
        </w:rPr>
        <w:t>그 과정의 비용은 컸다. 높은 금리와 신용경색, 기업 도산과 실업은 대차대조표의 정리를 생활의 위기로 바꾸었다. 금융회사의 만기 불일치를 고치는 동안 가계는 소득 단절을 감당했다. 규제사는 제도 개선의 목록만이 아니라 전환 비용이 누구에게 집중되었는지도 기억해야 한다. 빠른 개방의 편익을 넓게 누렸다면 준비 부족의 손실을 취약한 노동자와 채무자에게만 돌리는 것은 공정하지 않다.</w:t>
      </w:r>
    </w:p>
    <w:p>
      <w:pPr>
        <w:pStyle w:val="aff3"/>
        <w:spacing w:line="259" w:lineRule="auto"/>
      </w:pPr>
      <w:r>
        <w:rPr>
          <w:rFonts w:ascii="KoPubWorld바탕체_Pro Light" w:hAnsi="KoPubWorld바탕체_Pro Light" w:eastAsia="KoPubWorld바탕체_Pro Light" w:cs="KoPubWorld바탕체_Pro Light"/>
          <w:sz w:val="16"/>
        </w:rPr>
        <w:t>자유화의 청구서는 자유 그 자체의 값이 아니었다. 가격과 국경을 열면서도 손실 부담, 외화 유동성, 연결재무와 감독의 경계를 미리 정하지 않은 값이었다. 한국은 그 청구서를 받은 뒤 감독체계를 한꺼번에 다시 설계했다. 다음 문제는 통합된 기관이 모든 위험을 더 잘 볼 수 있는지, 그리고 강한 감독자가 누구에게 책임을 질 것인지였다.</w:t>
      </w:r>
    </w:p>
    <w:p>
      <w:pPr>
        <w:pStyle w:val="aff3"/>
        <w:spacing w:line="259" w:lineRule="auto"/>
      </w:pPr>
      <w:r>
        <w:rPr>
          <w:rFonts w:ascii="KoPubWorld바탕체_Pro Light" w:hAnsi="KoPubWorld바탕체_Pro Light" w:eastAsia="KoPubWorld바탕체_Pro Light" w:cs="KoPubWorld바탕체_Pro Light"/>
          <w:sz w:val="16"/>
        </w:rPr>
        <w:t>위기의 기억은 다음 호황의 규칙에 남아야 한다. 외화 유동성 지표와 연결감독을 위기 직후에만 엄격히 하고 시장이 안정되자 완화하면 같은 만기 경쟁이 돌아온다. 반대로 과거 위기의 형태만 방어하면 위험은 비은행·파생상품과 새 통화로 옮겨간다. 기억은 규칙을 영구 동결하는 일이 아니라 새로운 우회에 맞춰 원리를 갱신하는 능력이다.</w:t>
      </w:r>
    </w:p>
    <w:p>
      <w:pPr>
        <w:pStyle w:val="aff2"/>
        <w:pageBreakBefore/>
        <w:spacing w:before="440"/>
        <w:jc w:val="center"/>
      </w:pPr>
      <w:r>
        <w:rPr>
          <w:rFonts w:ascii="KoPubWorld바탕체_Pro Bold" w:hAnsi="KoPubWorld바탕체_Pro Bold" w:eastAsia="KoPubWorld바탕체_Pro Bold" w:cs="KoPubWorld바탕체_Pro Bold"/>
          <w:b/>
          <w:sz w:val="24"/>
        </w:rPr>
        <w:t>Chapter. 26</w:t>
      </w:r>
    </w:p>
    <w:p>
      <w:pPr>
        <w:pStyle w:val="aff1"/>
        <w:jc w:val="center"/>
      </w:pPr>
      <w:r>
        <w:rPr>
          <w:rFonts w:ascii="KoPubWorld바탕체_Pro Bold" w:hAnsi="KoPubWorld바탕체_Pro Bold" w:eastAsia="KoPubWorld바탕체_Pro Bold" w:cs="KoPubWorld바탕체_Pro Bold"/>
          <w:b/>
          <w:sz w:val="28"/>
        </w:rPr>
        <w:t>감독체계를 다시 짜다 - 금융위원회·금감원·금융지주·예금보험</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1999년 1월 1일 아침, 은행·증권·보험·비은행을 따로 보던 감독 조직들이 금융감독원이라는 한 지붕 아래 모였다. 간판을 바꾸는 일은 하루면 되었지만 감독의 시야를 합치는 데는 훨씬 오래 걸렸다. 은행 검사표의 언어와 증권 불공정거래의 언어, 보험계리의 언어는 달랐다. 통합은 조직도를 한 장으로 만드는 일이 아니라 서로 다른 위험을 한 금융그룹의 장부에서 읽는 능력을 만드는 일이었다.</w:t>
      </w:r>
      <w:r>
        <w:rPr>
          <w:rFonts w:ascii="KoPubWorld바탕체_Pro Light" w:hAnsi="KoPubWorld바탕체_Pro Light" w:eastAsia="KoPubWorld바탕체_Pro Light" w:cs="KoPubWorld바탕체_Pro Light"/>
          <w:sz w:val="14"/>
          <w:vertAlign w:val="superscript"/>
        </w:rPr>
        <w:t>162</w:t>
      </w:r>
    </w:p>
    <w:p>
      <w:pPr>
        <w:pStyle w:val="aff3"/>
        <w:spacing w:line="259" w:lineRule="auto"/>
      </w:pPr>
      <w:r>
        <w:rPr>
          <w:rFonts w:ascii="KoPubWorld바탕체_Pro Light" w:hAnsi="KoPubWorld바탕체_Pro Light" w:eastAsia="KoPubWorld바탕체_Pro Light" w:cs="KoPubWorld바탕체_Pro Light"/>
          <w:sz w:val="16"/>
        </w:rPr>
        <w:t>1997년 위기는 감독기관이 없어서 생긴 것이 아니었다. 기관이 업권별로 존재했지만 종합금융회사와 대기업집단, 해외 차입을 가로지르는 위험을 전체로 보지 못했다. 위기 뒤 한국이 택한 답은 감독의 통합, 정책결정과 집행의 분리, 중앙은행의 목표 재정립, 예금보험과 정리 기능의 강화였다. 그러나 새 구조도 영원한 정답은 아니었다. 권한을 모으면 사각지대가 줄어드는 대신 실패의 책임이 한 기관에 집중되고 정치적 영향의 통로도 굵어진다.</w:t>
      </w:r>
      <w:r>
        <w:rPr>
          <w:rFonts w:ascii="KoPubWorld바탕체_Pro Light" w:hAnsi="KoPubWorld바탕체_Pro Light" w:eastAsia="KoPubWorld바탕체_Pro Light" w:cs="KoPubWorld바탕체_Pro Light"/>
          <w:sz w:val="14"/>
          <w:vertAlign w:val="superscript"/>
        </w:rPr>
        <w:t>162</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업권별 벽을 허문 통합감독</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1997년 12월 31일 제정된 ‘금융감독기구의 설치 등에 관한 법률’은 금융감독위원회와 금융감독원을 중심으로 한 새 체계의 법적 토대를 만들었고, 법은 1998년 4월 1일부터 시행되었다.</w:t>
      </w:r>
      <w:r>
        <w:rPr>
          <w:rFonts w:ascii="KoPubWorld바탕체_Pro Light" w:hAnsi="KoPubWorld바탕체_Pro Light" w:eastAsia="KoPubWorld바탕체_Pro Light" w:cs="KoPubWorld바탕체_Pro Light"/>
          <w:sz w:val="14"/>
          <w:vertAlign w:val="superscript"/>
        </w:rPr>
        <w:t>162</w:t>
      </w:r>
      <w:r>
        <w:rPr>
          <w:rFonts w:ascii="KoPubWorld바탕체_Pro Light" w:hAnsi="KoPubWorld바탕체_Pro Light" w:eastAsia="KoPubWorld바탕체_Pro Light" w:cs="KoPubWorld바탕체_Pro Light"/>
          <w:sz w:val="16"/>
        </w:rPr>
        <w:t xml:space="preserve"> 금융감독원은 기존의 은행감독원·증권감독원·보험감독원과 신용관리기금을 통합해 1999년 1월 출범했다.</w:t>
      </w:r>
      <w:r>
        <w:rPr>
          <w:rFonts w:ascii="KoPubWorld바탕체_Pro Light" w:hAnsi="KoPubWorld바탕체_Pro Light" w:eastAsia="KoPubWorld바탕체_Pro Light" w:cs="KoPubWorld바탕체_Pro Light"/>
          <w:sz w:val="14"/>
          <w:vertAlign w:val="superscript"/>
        </w:rPr>
        <w:t>162</w:t>
      </w:r>
    </w:p>
    <w:p>
      <w:pPr>
        <w:pStyle w:val="aff3"/>
        <w:spacing w:line="259" w:lineRule="auto"/>
      </w:pPr>
      <w:r>
        <w:rPr>
          <w:rFonts w:ascii="KoPubWorld바탕체_Pro Light" w:hAnsi="KoPubWorld바탕체_Pro Light" w:eastAsia="KoPubWorld바탕체_Pro Light" w:cs="KoPubWorld바탕체_Pro Light"/>
          <w:sz w:val="16"/>
        </w:rPr>
        <w:t>통합의 첫 이익은 연결해서 보는 능력이었다. 한 금융그룹이 은행에서 대출하고 증권사로 채권을 팔며 보험사와 파생계약을 맺는다면 업권별 장부만으로 전체 위험을 알 수 없다. 한쪽의 자본이 튼튼해 보여도 계열사 보증과 내부거래로 손실이 옮겨올 수 있다. 통합감독은 동일한 차주와 그룹에 대한 익스포저, 내부통제, 계열 간 위험 전이를 한 기관이 추적하게 했다.</w:t>
      </w:r>
    </w:p>
    <w:p>
      <w:pPr>
        <w:pStyle w:val="aff3"/>
        <w:spacing w:line="259" w:lineRule="auto"/>
      </w:pPr>
      <w:r>
        <w:rPr>
          <w:rFonts w:ascii="KoPubWorld바탕체_Pro Light" w:hAnsi="KoPubWorld바탕체_Pro Light" w:eastAsia="KoPubWorld바탕체_Pro Light" w:cs="KoPubWorld바탕체_Pro Light"/>
          <w:sz w:val="16"/>
        </w:rPr>
        <w:t>둘째 이익은 같은 기능에 비슷한 규칙을 적용할 가능성이었다. 은행 예금과 증권사의 단기 상품은 법적으로 다르지만 소비자에게는 현금성 저축처럼 보일 수 있다. 규제가 업권 이름만 따라가면 위험한 상품이 더 느슨한 상자에 담긴다. 기능별 규율은 지급 약속, 원금 손실, 레버리지와 판매행위라는 경제적 실질을 보려는 시도였다.</w:t>
      </w:r>
    </w:p>
    <w:p>
      <w:pPr>
        <w:pStyle w:val="aff3"/>
        <w:spacing w:line="259" w:lineRule="auto"/>
      </w:pPr>
      <w:r>
        <w:rPr>
          <w:rFonts w:ascii="KoPubWorld바탕체_Pro Light" w:hAnsi="KoPubWorld바탕체_Pro Light" w:eastAsia="KoPubWorld바탕체_Pro Light" w:cs="KoPubWorld바탕체_Pro Light"/>
          <w:sz w:val="16"/>
        </w:rPr>
        <w:t>통합에는 비용도 있었다. 거대 감독조직은 현장의 작은 이상신호를 중앙의 표준 절차에 묻을 수 있다. 모든 업권에 같은 잣대를 기계적으로 적용하면 보험의 장기부채와 은행의 단기 유동성 같은 차이를 놓친다. 조직 내부 부서 사이에 새 칸막이가 생길 수도 있다. ‘한 지붕’은 정보 공유의 필요조건일 뿐 충분조건이 아니다. 공동 데이터, 책임 있는 의사결정, 이견을 올리는 문화가 함께 있어야 한다.</w:t>
      </w:r>
    </w:p>
    <w:p>
      <w:pPr>
        <w:pStyle w:val="aff3"/>
        <w:spacing w:line="259" w:lineRule="auto"/>
      </w:pPr>
      <w:r>
        <w:rPr>
          <w:rFonts w:ascii="KoPubWorld바탕체_Pro Light" w:hAnsi="KoPubWorld바탕체_Pro Light" w:eastAsia="KoPubWorld바탕체_Pro Light" w:cs="KoPubWorld바탕체_Pro Light"/>
          <w:sz w:val="16"/>
        </w:rPr>
        <w:t>감독 데이터는 회사가 제출한 표만으로 완성되지 않는다. 같은 자산을 업권마다 다른 분류와 가치로 보고하면 연결 합계가 어긋난다. 공통 식별자와 회계 정의, 원자료에 접근할 능력이 필요하다. 통합감독의 실질은 조직 합병보다 데이터 사전을 맞추는 지루한 작업에서 나온다.</w:t>
      </w:r>
    </w:p>
    <w:p>
      <w:pPr>
        <w:pStyle w:val="aff3"/>
        <w:spacing w:line="259" w:lineRule="auto"/>
      </w:pPr>
      <w:r>
        <w:rPr>
          <w:rFonts w:ascii="KoPubWorld바탕체_Pro Light" w:hAnsi="KoPubWorld바탕체_Pro Light" w:eastAsia="KoPubWorld바탕체_Pro Light" w:cs="KoPubWorld바탕체_Pro Light"/>
          <w:sz w:val="16"/>
        </w:rPr>
        <w:t>현장검사와 상시감시의 균형도 달라졌다. 보고 데이터는 넓은 시장을 빠르게 비교하지만 숫자가 만들어지는 영업 현장을 보지 못한다. 현장검사는 내부의 권한관계와 우회를 발견하지만 자주 할 수 없다. 두 방식이 서로의 가설을 검증해야 감독이 서류 확인에 머물지 않는다.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한국은행은 무엇에 독립하는가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같은 날 개정된 한국은행법은 1998년 4월 1일 시행되었다. 개정은 물가안정을 한국은행의 명시적 목표로 앞세우고, 한국은행 총재가 금융통화위원회 의장을 맡도록 하며 통화신용정책의 중립성과 자율성을 강화했다. 은행감독 기능은 새 감독체계로 이동했다.</w:t>
      </w:r>
      <w:r>
        <w:rPr>
          <w:rFonts w:ascii="KoPubWorld바탕체_Pro Light" w:hAnsi="KoPubWorld바탕체_Pro Light" w:eastAsia="KoPubWorld바탕체_Pro Light" w:cs="KoPubWorld바탕체_Pro Light"/>
          <w:sz w:val="14"/>
          <w:vertAlign w:val="superscript"/>
        </w:rPr>
        <w:t>163</w:t>
      </w:r>
    </w:p>
    <w:p>
      <w:pPr>
        <w:pStyle w:val="aff3"/>
        <w:spacing w:line="259" w:lineRule="auto"/>
      </w:pPr>
      <w:r>
        <w:rPr>
          <w:rFonts w:ascii="KoPubWorld바탕체_Pro Light" w:hAnsi="KoPubWorld바탕체_Pro Light" w:eastAsia="KoPubWorld바탕체_Pro Light" w:cs="KoPubWorld바탕체_Pro Light"/>
          <w:sz w:val="16"/>
        </w:rPr>
        <w:t>이는 1960년대 개발금융 체제에서 강화된 정부 통제로부터의 방향 전환이었다. 통화정책이 산업별 자금 배분과 재정 편의에 끌려가면 물가와 환율 신뢰가 약해진다는 위기의 교훈이 반영됐다. 합의제 위원회와 임기, 의사결정 절차를 통해 단기 정치 일정과 금리 결정을 떨어뜨리려 했다.</w:t>
      </w:r>
      <w:r>
        <w:rPr>
          <w:rFonts w:ascii="KoPubWorld바탕체_Pro Light" w:hAnsi="KoPubWorld바탕체_Pro Light" w:eastAsia="KoPubWorld바탕체_Pro Light" w:cs="KoPubWorld바탕체_Pro Light"/>
          <w:sz w:val="14"/>
          <w:vertAlign w:val="superscript"/>
        </w:rPr>
        <w:t>144</w:t>
      </w:r>
      <w:r>
        <w:rPr>
          <w:rFonts w:ascii="KoPubWorld바탕체_Pro Light" w:hAnsi="KoPubWorld바탕체_Pro Light" w:eastAsia="KoPubWorld바탕체_Pro Light" w:cs="KoPubWorld바탕체_Pro Light"/>
          <w:sz w:val="14"/>
          <w:vertAlign w:val="superscript"/>
        </w:rPr>
        <w:t>163</w:t>
      </w:r>
    </w:p>
    <w:p>
      <w:pPr>
        <w:pStyle w:val="aff3"/>
        <w:spacing w:line="259" w:lineRule="auto"/>
      </w:pPr>
      <w:r>
        <w:rPr>
          <w:rFonts w:ascii="KoPubWorld바탕체_Pro Light" w:hAnsi="KoPubWorld바탕체_Pro Light" w:eastAsia="KoPubWorld바탕체_Pro Light" w:cs="KoPubWorld바탕체_Pro Light"/>
          <w:sz w:val="16"/>
        </w:rPr>
        <w:t>그러나 중앙은행 독립은 금융안정 책임을 없애지 않는다. 감독권이 분리되어도 한국은행은 결제망과 금융기관의 유동성을 보고, 위기 때 최종대부자 역할을 한다. 감독원이 개별 기관의 건전성을 알고 중앙은행이 시스템의 자금 흐름을 안다면 두 정보를 결합해야 한다. 평상시에는 개인정보와 감독 비밀을 이유로 정보가 막히고, 위기에는 누가 먼저 행동할지를 두고 시간이 흘러갈 수 있다.</w:t>
      </w:r>
    </w:p>
    <w:p>
      <w:pPr>
        <w:pStyle w:val="aff3"/>
        <w:spacing w:line="259" w:lineRule="auto"/>
      </w:pPr>
      <w:r>
        <w:rPr>
          <w:rFonts w:ascii="KoPubWorld바탕체_Pro Light" w:hAnsi="KoPubWorld바탕체_Pro Light" w:eastAsia="KoPubWorld바탕체_Pro Light" w:cs="KoPubWorld바탕체_Pro Light"/>
          <w:sz w:val="16"/>
        </w:rPr>
        <w:t>독립은 목표·수단·설명의 세 층으로 나누어 보아야 한다. 법률과 민주적 절차가 최종 목표를 정하고, 중앙은행은 전문성을 바탕으로 수단을 선택하며, 결과와 판단 근거를 공개해 책임을 진다. 독립을 ‘아무도 간섭하지 못함’으로 이해하면 정당성이 약해진다. 반대로 정부가 구체적 금리와 대출을 매번 지시하면 장기 신뢰가 무너진다. 좋은 구조는 갈등을 없애는 것이 아니라 공개된 절차 안에서 다루게 한다.</w:t>
      </w:r>
    </w:p>
    <w:p>
      <w:pPr>
        <w:pStyle w:val="aff3"/>
        <w:spacing w:line="259" w:lineRule="auto"/>
      </w:pPr>
      <w:r>
        <w:rPr>
          <w:rFonts w:ascii="KoPubWorld바탕체_Pro Light" w:hAnsi="KoPubWorld바탕체_Pro Light" w:eastAsia="KoPubWorld바탕체_Pro Light" w:cs="KoPubWorld바탕체_Pro Light"/>
          <w:sz w:val="16"/>
        </w:rPr>
        <w:t>감독기관의 독립도 같은 시험을 받는다. 부실을 조기에 공개하면 시장 불안과 정치적 반발이 생기고, 미루면 손실이 커진다. 임기와 예산의 안정만으로 독립이 보장되지 않는다. 검사 결론의 근거, 제재 절차와 예외 승인을 기록하고 외부 검토를 받게 해야 ‘관용’과 ‘포획’을 구별할 수 있다.</w:t>
      </w:r>
    </w:p>
    <w:p>
      <w:pPr>
        <w:pStyle w:val="aff3"/>
        <w:spacing w:line="259" w:lineRule="auto"/>
      </w:pPr>
      <w:r>
        <w:rPr>
          <w:rFonts w:ascii="KoPubWorld바탕체_Pro Light" w:hAnsi="KoPubWorld바탕체_Pro Light" w:eastAsia="KoPubWorld바탕체_Pro Light" w:cs="KoPubWorld바탕체_Pro Light"/>
          <w:sz w:val="16"/>
        </w:rPr>
        <w:t>감독의 실패는 지나친 엄격함에서도 생긴다. 일률적 자본 확충과 대출 축소를 불황기에 동시에 요구하면 건전성을 높이려는 조치가 신용경색을 키울 수 있다. 기관별 부실을 숨기지 않되 시스템 전체의 동시 행동을 조정하는 거시건전성 시야가 필요하다.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예금보험은 약속이자 정리 도구다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예금보험은 은행이 실패해도 예금자의 일상 결제가 함께 무너지지 않도록 한다. 한국은 1995년 예금자보호법을 제정하고 1996년 6월 시행했으며, 1997년부터 예금보험 업무를 시작했다.</w:t>
      </w:r>
      <w:r>
        <w:rPr>
          <w:rFonts w:ascii="KoPubWorld바탕체_Pro Light" w:hAnsi="KoPubWorld바탕체_Pro Light" w:eastAsia="KoPubWorld바탕체_Pro Light" w:cs="KoPubWorld바탕체_Pro Light"/>
          <w:sz w:val="14"/>
          <w:vertAlign w:val="superscript"/>
        </w:rPr>
        <w:t>160</w:t>
      </w:r>
      <w:r>
        <w:rPr>
          <w:rFonts w:ascii="KoPubWorld바탕체_Pro Light" w:hAnsi="KoPubWorld바탕체_Pro Light" w:eastAsia="KoPubWorld바탕체_Pro Light" w:cs="KoPubWorld바탕체_Pro Light"/>
          <w:sz w:val="16"/>
        </w:rPr>
        <w:t xml:space="preserve"> 외환위기 때에는 한시적 전액보호로 뱅크런을 막았고, 이후 제한보호로 돌아왔다.</w:t>
      </w:r>
      <w:r>
        <w:rPr>
          <w:rFonts w:ascii="KoPubWorld바탕체_Pro Light" w:hAnsi="KoPubWorld바탕체_Pro Light" w:eastAsia="KoPubWorld바탕체_Pro Light" w:cs="KoPubWorld바탕체_Pro Light"/>
          <w:sz w:val="14"/>
          <w:vertAlign w:val="superscript"/>
        </w:rPr>
        <w:t>161</w:t>
      </w:r>
    </w:p>
    <w:p>
      <w:pPr>
        <w:pStyle w:val="aff3"/>
        <w:spacing w:line="259" w:lineRule="auto"/>
      </w:pPr>
      <w:r>
        <w:rPr>
          <w:rFonts w:ascii="KoPubWorld바탕체_Pro Light" w:hAnsi="KoPubWorld바탕체_Pro Light" w:eastAsia="KoPubWorld바탕체_Pro Light" w:cs="KoPubWorld바탕체_Pro Light"/>
          <w:sz w:val="16"/>
        </w:rPr>
        <w:t>보험은 신뢰를 만들지만 위험을 가릴 수도 있다. 예금자가 은행의 건전성을 전혀 살피지 않아도 된다면 높은 금리로 무리하게 자금을 모으는 은행이 커질 수 있다. 그래서 예금보험은 보험료, 감독, 조기개입과 정리제도에 연결되어야 한다. 위험한 기관에 더 많은 비용을 물리고, 자본이 소진되기 전에 시정조치를 하며, 실패하면 주주와 경영진이 먼저 손실을 지게 해야 한다.</w:t>
      </w:r>
    </w:p>
    <w:p>
      <w:pPr>
        <w:pStyle w:val="aff3"/>
        <w:spacing w:line="259" w:lineRule="auto"/>
      </w:pPr>
      <w:r>
        <w:rPr>
          <w:rFonts w:ascii="KoPubWorld바탕체_Pro Light" w:hAnsi="KoPubWorld바탕체_Pro Light" w:eastAsia="KoPubWorld바탕체_Pro Light" w:cs="KoPubWorld바탕체_Pro Light"/>
          <w:sz w:val="16"/>
        </w:rPr>
        <w:t>예금보험공사의 역할도 단순한 사후 보험금 지급을 넘는다. 부실금융기관을 매각하거나 계약을 이전하고, 정리금융기관을 통해 자산을 관리하며, 책임자에게 손해배상을 청구해 공적자금을 회수한다. 위기 당시 1999년 6월 말까지 101개 퇴출금융기관의 예금자 약 36만 명에게 10조 원이 넘는 보험금이 지급된 기록은 보험이 얼마나 빠르게 구조조정의 핵심 장치가 되었는지 보여 준다.</w:t>
      </w:r>
      <w:r>
        <w:rPr>
          <w:rFonts w:ascii="KoPubWorld바탕체_Pro Light" w:hAnsi="KoPubWorld바탕체_Pro Light" w:eastAsia="KoPubWorld바탕체_Pro Light" w:cs="KoPubWorld바탕체_Pro Light"/>
          <w:sz w:val="14"/>
          <w:vertAlign w:val="superscript"/>
        </w:rPr>
        <w:t>164</w:t>
      </w:r>
    </w:p>
    <w:p>
      <w:pPr>
        <w:pStyle w:val="aff3"/>
        <w:spacing w:line="259" w:lineRule="auto"/>
      </w:pPr>
      <w:r>
        <w:rPr>
          <w:rFonts w:ascii="KoPubWorld바탕체_Pro Light" w:hAnsi="KoPubWorld바탕체_Pro Light" w:eastAsia="KoPubWorld바탕체_Pro Light" w:cs="KoPubWorld바탕체_Pro Light"/>
          <w:sz w:val="16"/>
        </w:rPr>
        <w:t>정리는 청산과 다르다. 은행의 법인은 실패해도 예금과 지급, 정상 대출 같은 중요 기능은 다른 기관으로 넘겨 계속할 수 있다. 주말 동안 자산·부채를 평가하고 인수자를 찾으려면 평상시 자료와 법적 권한이 준비돼 있어야 한다. 살아 있는 은행을 정리할 수 있는 계획이 있어야 공적 구제가 유일한 선택지가 되지 않는다.</w:t>
      </w:r>
    </w:p>
    <w:p>
      <w:pPr>
        <w:pStyle w:val="aff3"/>
        <w:spacing w:line="259" w:lineRule="auto"/>
      </w:pPr>
      <w:r>
        <w:rPr>
          <w:rFonts w:ascii="KoPubWorld바탕체_Pro Light" w:hAnsi="KoPubWorld바탕체_Pro Light" w:eastAsia="KoPubWorld바탕체_Pro Light" w:cs="KoPubWorld바탕체_Pro Light"/>
          <w:sz w:val="16"/>
        </w:rPr>
        <w:t>보험기금의 재원도 손실 배분이다. 사전에 보험료를 충분히 쌓으면 업계가 비용을 부담하지만 높은 보험료는 고객 가격으로 전가된다. 위기 뒤 특별부담금을 걷으면 살아남은 회사가 경쟁사의 실패를 떠안고, 국채를 쓰면 미래 납세자가 부담한다. 어느 방식도 무비용이 아니므로 기금 목표와 부족 시 보충 순서를 공개해야 한다.</w:t>
      </w:r>
    </w:p>
    <w:p>
      <w:pPr>
        <w:pStyle w:val="aff3"/>
        <w:spacing w:line="259" w:lineRule="auto"/>
      </w:pPr>
      <w:r>
        <w:rPr>
          <w:rFonts w:ascii="KoPubWorld바탕체_Pro Light" w:hAnsi="KoPubWorld바탕체_Pro Light" w:eastAsia="KoPubWorld바탕체_Pro Light" w:cs="KoPubWorld바탕체_Pro Light"/>
          <w:sz w:val="16"/>
        </w:rPr>
        <w:t>보호 한도는 신뢰와 규율 사이의 숫자다. 한국은 2025년 9월 1일부터 예금보호 한도를 1인당 금융회사별 5천만 원에서 1억 원으로 높였다.</w:t>
      </w:r>
      <w:r>
        <w:rPr>
          <w:rFonts w:ascii="KoPubWorld바탕체_Pro Light" w:hAnsi="KoPubWorld바탕체_Pro Light" w:eastAsia="KoPubWorld바탕체_Pro Light" w:cs="KoPubWorld바탕체_Pro Light"/>
          <w:sz w:val="14"/>
          <w:vertAlign w:val="superscript"/>
        </w:rPr>
        <w:t>165</w:t>
      </w:r>
      <w:r>
        <w:rPr>
          <w:rFonts w:ascii="KoPubWorld바탕체_Pro Light" w:hAnsi="KoPubWorld바탕체_Pro Light" w:eastAsia="KoPubWorld바탕체_Pro Light" w:cs="KoPubWorld바탕체_Pro Light"/>
          <w:sz w:val="16"/>
        </w:rPr>
        <w:t xml:space="preserve"> 2026년 7월 현재 시행 중인 이 변화는 소득과 예금 규모의 성장을 반영하지만, 보호 범위가 넓을수록 보험기금과 감독의 부담도 커진다. 한도 인상은 공짜 신뢰가 아니라 더 정교한 위험 관리와 정리 역량을 요구한다.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금융지주가 만든 큰 장부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구조조정 뒤 은행의 대형화와 겸업화가 진행되면서 금융지주회사라는 그릇이 필요해졌다. 2000년 10월 23일 제정된 금융지주회사법은 금융지주회사 설립을 인가제로 하고, 자회사 보유와 계열 내 신용공여, 연결 공시와 건전성 기준을 규율했다.</w:t>
      </w:r>
      <w:r>
        <w:rPr>
          <w:rFonts w:ascii="KoPubWorld바탕체_Pro Light" w:hAnsi="KoPubWorld바탕체_Pro Light" w:eastAsia="KoPubWorld바탕체_Pro Light" w:cs="KoPubWorld바탕체_Pro Light"/>
          <w:sz w:val="14"/>
          <w:vertAlign w:val="superscript"/>
        </w:rPr>
        <w:t>166</w:t>
      </w:r>
      <w:r>
        <w:rPr>
          <w:rFonts w:ascii="KoPubWorld바탕체_Pro Light" w:hAnsi="KoPubWorld바탕체_Pro Light" w:eastAsia="KoPubWorld바탕체_Pro Light" w:cs="KoPubWorld바탕체_Pro Light"/>
          <w:sz w:val="16"/>
        </w:rPr>
        <w:t xml:space="preserve"> 은행·증권·보험을 하나의 그룹 아래 두어 자본과 고객망을 효율적으로 활용하되 그룹 내부의 위험 전이를 통제하려는 법이었다.</w:t>
      </w:r>
    </w:p>
    <w:p>
      <w:pPr>
        <w:pStyle w:val="aff3"/>
        <w:spacing w:line="259" w:lineRule="auto"/>
      </w:pPr>
      <w:r>
        <w:rPr>
          <w:rFonts w:ascii="KoPubWorld바탕체_Pro Light" w:hAnsi="KoPubWorld바탕체_Pro Light" w:eastAsia="KoPubWorld바탕체_Pro Light" w:cs="KoPubWorld바탕체_Pro Light"/>
          <w:sz w:val="16"/>
        </w:rPr>
        <w:t>지주회사 구조는 복잡한 계열을 한눈에 보이게 할 수 있다. 모회사가 자회사를 100퍼센트 소유하면 책임과 지배관계가 선명해지고, 연결재무제표로 그룹 전체의 자본을 계산할 수 있다. 부실 자회사를 매각하거나 자본을 투입하는 구조조정도 쉬워진다. 외환위기 뒤 흩어진 금융기관을 묶고 경영을 정상화하는 데 이 틀이 쓰였다.</w:t>
      </w:r>
    </w:p>
    <w:p>
      <w:pPr>
        <w:pStyle w:val="aff3"/>
        <w:spacing w:line="259" w:lineRule="auto"/>
      </w:pPr>
      <w:r>
        <w:rPr>
          <w:rFonts w:ascii="KoPubWorld바탕체_Pro Light" w:hAnsi="KoPubWorld바탕체_Pro Light" w:eastAsia="KoPubWorld바탕체_Pro Light" w:cs="KoPubWorld바탕체_Pro Light"/>
          <w:sz w:val="16"/>
        </w:rPr>
        <w:t>반대로 규모와 복잡성이 커지면 ‘너무 커서 실패할 수 없는’ 문제가 생긴다. 그룹 내부에서 브랜드와 전산, 자금조달을 공유하면 한 자회사의 평판·유동성 위기가 다른 자회사로 번진다. 이중으로 계산된 자본, 계열 간 우회 지원, 고객정보의 과도한 공유도 감독 과제가 된다. 법인별 책임과 그룹 전체의 현실이 어긋날 때 어느 감독자가 어떤 자산을 먼저 보호할지 어려워진다.</w:t>
      </w:r>
    </w:p>
    <w:p>
      <w:pPr>
        <w:pStyle w:val="aff3"/>
        <w:spacing w:line="259" w:lineRule="auto"/>
      </w:pPr>
      <w:r>
        <w:rPr>
          <w:rFonts w:ascii="KoPubWorld바탕체_Pro Light" w:hAnsi="KoPubWorld바탕체_Pro Light" w:eastAsia="KoPubWorld바탕체_Pro Light" w:cs="KoPubWorld바탕체_Pro Light"/>
          <w:sz w:val="16"/>
        </w:rPr>
        <w:t>금융지주 규제의 핵심은 결합을 허용하느냐 금지하느냐가 아니다. 결합이 만든 효율을 인정하면서 자본을 실제로 손실 흡수에 쓸 수 있는지, 중요 기능을 분리해 정리할 수 있는지, 내부거래 가격이 공정한지를 묻는 것이다. 큰 장부를 만들었다면 큰 장부에 맞는 스트레스 테스트와 회생·정리 계획이 뒤따라야 한다.</w:t>
      </w:r>
    </w:p>
    <w:p>
      <w:pPr>
        <w:pStyle w:val="aff3"/>
        <w:spacing w:line="259" w:lineRule="auto"/>
      </w:pPr>
      <w:r>
        <w:rPr>
          <w:rFonts w:ascii="KoPubWorld바탕체_Pro Light" w:hAnsi="KoPubWorld바탕체_Pro Light" w:eastAsia="KoPubWorld바탕체_Pro Light" w:cs="KoPubWorld바탕체_Pro Light"/>
          <w:sz w:val="16"/>
        </w:rPr>
        <w:t>법인 사이의 방화벽은 평상시와 위기 때 다르게 시험된다. 모회사가 한 자회사를 지원하면 전염을 막을 수 있지만 건전한 자회사의 자본을 빼내면 피해가 확대된다. 지원 조건, 이사회 승인과 감독 사전동의를 정해 즉흥적 내부구제를 제한해야 한다. 그룹의 평판을 지킨다는 이유가 예금자 자산의 무제한 이전을 정당화해서는 안 된다.</w:t>
      </w:r>
    </w:p>
    <w:p>
      <w:pPr>
        <w:pStyle w:val="aff3"/>
        <w:spacing w:line="259" w:lineRule="auto"/>
      </w:pPr>
      <w:r>
        <w:rPr>
          <w:rFonts w:ascii="KoPubWorld바탕체_Pro Light" w:hAnsi="KoPubWorld바탕체_Pro Light" w:eastAsia="KoPubWorld바탕체_Pro Light" w:cs="KoPubWorld바탕체_Pro Light"/>
          <w:sz w:val="16"/>
        </w:rPr>
        <w:t>금융그룹이 공통 브랜드와 앱을 쓸수록 소비자는 어느 법인과 계약했는지 알기 어렵다. 같은 화면에 예금, 펀드와 보험이 나란히 보이면 보호 수준도 같다고 생각할 수 있다. 연결감독은 자본뿐 아니라 브랜드가 만든 소비자 오해와 교차판매의 이해상충까지 보아야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2008년의 재배치</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감독체계는 다시 바뀌었다. 2008년 정부 조직 개편으로 금융위원회는 옛 금융감독위원회의 감독정책 기능과 재정경제부의 금융정책 기능을 합쳐 출범했고, 금융위원장과 금융감독원장의 겸임 구조도 분리되었다.</w:t>
      </w:r>
      <w:r>
        <w:rPr>
          <w:rFonts w:ascii="KoPubWorld바탕체_Pro Light" w:hAnsi="KoPubWorld바탕체_Pro Light" w:eastAsia="KoPubWorld바탕체_Pro Light" w:cs="KoPubWorld바탕체_Pro Light"/>
          <w:sz w:val="14"/>
          <w:vertAlign w:val="superscript"/>
        </w:rPr>
        <w:t>167</w:t>
      </w:r>
      <w:r>
        <w:rPr>
          <w:rFonts w:ascii="KoPubWorld바탕체_Pro Light" w:hAnsi="KoPubWorld바탕체_Pro Light" w:eastAsia="KoPubWorld바탕체_Pro Light" w:cs="KoPubWorld바탕체_Pro Light"/>
          <w:sz w:val="16"/>
        </w:rPr>
        <w:t xml:space="preserve"> 정책을 만드는 공적 행정기관과 검사를 집행하는 특수한 감독기관의 역할을 구분하려는 선택이었다.</w:t>
      </w:r>
    </w:p>
    <w:p>
      <w:pPr>
        <w:pStyle w:val="aff3"/>
        <w:spacing w:line="259" w:lineRule="auto"/>
      </w:pPr>
      <w:r>
        <w:rPr>
          <w:rFonts w:ascii="KoPubWorld바탕체_Pro Light" w:hAnsi="KoPubWorld바탕체_Pro Light" w:eastAsia="KoPubWorld바탕체_Pro Light" w:cs="KoPubWorld바탕체_Pro Light"/>
          <w:sz w:val="16"/>
        </w:rPr>
        <w:t>현재 구조에서 금융위원회는 금융정책과 제도, 감독 관련 주요 의사결정을 맡고 금융감독원은 검사·감독의 집행을 수행한다. 2026년 1월 2일 출범한 재정경제부는 거시경제·외환·국제금융 정책, 한국은행은 통화·금융안정과 지급결제, 예금보험공사는 예금보험과 정리라는 서로 다른 축을 가진다.</w:t>
      </w:r>
      <w:r>
        <w:rPr>
          <w:rFonts w:ascii="KoPubWorld바탕체_Pro Light" w:hAnsi="KoPubWorld바탕체_Pro Light" w:eastAsia="KoPubWorld바탕체_Pro Light" w:cs="KoPubWorld바탕체_Pro Light"/>
          <w:sz w:val="14"/>
          <w:vertAlign w:val="superscript"/>
        </w:rPr>
        <w:t>168</w:t>
      </w:r>
      <w:r>
        <w:rPr>
          <w:rFonts w:ascii="KoPubWorld바탕체_Pro Light" w:hAnsi="KoPubWorld바탕체_Pro Light" w:eastAsia="KoPubWorld바탕체_Pro Light" w:cs="KoPubWorld바탕체_Pro Light"/>
          <w:sz w:val="16"/>
        </w:rPr>
        <w:t xml:space="preserve"> 여러 기관을 둔 것은 중복만이 아니라 견제와 전문화를 위한 설계다.</w:t>
      </w:r>
    </w:p>
    <w:p>
      <w:pPr>
        <w:pStyle w:val="aff3"/>
        <w:spacing w:line="259" w:lineRule="auto"/>
      </w:pPr>
      <w:r>
        <w:rPr>
          <w:rFonts w:ascii="KoPubWorld바탕체_Pro Light" w:hAnsi="KoPubWorld바탕체_Pro Light" w:eastAsia="KoPubWorld바탕체_Pro Light" w:cs="KoPubWorld바탕체_Pro Light"/>
          <w:sz w:val="16"/>
        </w:rPr>
        <w:t>견제는 이견이 공개되고 해결될 때만 가치가 있다. 회의가 많아도 최종 책임자가 불분명하면 합의는 가장 늦은 판단으로 수렴한다. 평상시에 위기 시나리오를 두고 누가 선언하고 누가 유동성·정리·재정을 결정할지 연습해야 한다. 연락망보다 결정권의 순서가 중요하다.</w:t>
      </w:r>
    </w:p>
    <w:p>
      <w:pPr>
        <w:pStyle w:val="aff3"/>
        <w:spacing w:line="259" w:lineRule="auto"/>
      </w:pPr>
      <w:r>
        <w:rPr>
          <w:rFonts w:ascii="KoPubWorld바탕체_Pro Light" w:hAnsi="KoPubWorld바탕체_Pro Light" w:eastAsia="KoPubWorld바탕체_Pro Light" w:cs="KoPubWorld바탕체_Pro Light"/>
          <w:sz w:val="16"/>
        </w:rPr>
        <w:t>문제는 위기가 조직도대로 오지 않는다는 데 있다. 부동산 가격 하락은 은행 건전성, 비은행 유동성, 가계소득과 통화정책을 동시에 건드린다. 사이버 사고는 감독, 지급결제, 개인정보와 국가안보를 가로지른다. 다기관 체계에서는 협의체와 정보공유, 비상권한의 발동 순서가 실제 규제만큼 중요하다. ‘소관이 아니다’라는 문장이 가장 위험한 사각지대를 만든다.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조직도보다 중요한 손실의 순서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1997년 뒤의 감독개혁은 분명한 진전이었다. 업권별 사각지대를 줄이고, 통화정책의 자율성을 높이며, 예금보험과 정리, 금융그룹 감독을 제도화했다. 위기 전에는 흐릿했던 손실 처리의 기관들이 생겼다. 누가 검사하고 누가 제재하며 누가 보험금을 내고 누가 유동성을 공급할지가 법적으로 더 분명해졌다.</w:t>
      </w:r>
      <w:r>
        <w:rPr>
          <w:rFonts w:ascii="KoPubWorld바탕체_Pro Light" w:hAnsi="KoPubWorld바탕체_Pro Light" w:eastAsia="KoPubWorld바탕체_Pro Light" w:cs="KoPubWorld바탕체_Pro Light"/>
          <w:sz w:val="14"/>
          <w:vertAlign w:val="superscript"/>
        </w:rPr>
        <w:t>162</w:t>
      </w:r>
      <w:r>
        <w:rPr>
          <w:rFonts w:ascii="KoPubWorld바탕체_Pro Light" w:hAnsi="KoPubWorld바탕체_Pro Light" w:eastAsia="KoPubWorld바탕체_Pro Light" w:cs="KoPubWorld바탕체_Pro Light"/>
          <w:sz w:val="14"/>
          <w:vertAlign w:val="superscript"/>
        </w:rPr>
        <w:t>160</w:t>
      </w:r>
    </w:p>
    <w:p>
      <w:pPr>
        <w:pStyle w:val="aff3"/>
        <w:spacing w:line="259" w:lineRule="auto"/>
      </w:pPr>
      <w:r>
        <w:rPr>
          <w:rFonts w:ascii="KoPubWorld바탕체_Pro Light" w:hAnsi="KoPubWorld바탕체_Pro Light" w:eastAsia="KoPubWorld바탕체_Pro Light" w:cs="KoPubWorld바탕체_Pro Light"/>
          <w:sz w:val="16"/>
        </w:rPr>
        <w:t>그럼에도 조직 개편만으로 좋은 감독이 완성되지는 않는다. 감독자가 정보를 늦게 모으거나 정치적 이유로 부실 인정을 미루면 통합 조직도 소용없다. 규제가 복잡할수록 금융회사는 감독기관과의 협의에 능한 대형사에 유리하고, 작은 혁신자는 진입비용을 감당하기 어렵다. 강한 감독권은 포획과 자의적 행정지도에 대한 통제도 요구한다.</w:t>
      </w:r>
    </w:p>
    <w:p>
      <w:pPr>
        <w:pStyle w:val="aff3"/>
        <w:spacing w:line="259" w:lineRule="auto"/>
      </w:pPr>
      <w:r>
        <w:rPr>
          <w:rFonts w:ascii="KoPubWorld바탕체_Pro Light" w:hAnsi="KoPubWorld바탕체_Pro Light" w:eastAsia="KoPubWorld바탕체_Pro Light" w:cs="KoPubWorld바탕체_Pro Light"/>
          <w:sz w:val="16"/>
        </w:rPr>
        <w:t>결국 감독체계의 품질은 위기 때 손실의 순서를 지킬 수 있는가로 시험된다. 주주와 경영진, 무담보 채권자, 보험 대상 예금자, 공적기금과 납세자의 순서를 사전에 정하고 실제로 집행해야 한다. 기관끼리 책임을 미루거나 ‘시스템 안정’을 이유로 모든 채권자를 보호하면 시장 규율은 다시 약해진다.</w:t>
      </w:r>
    </w:p>
    <w:p>
      <w:pPr>
        <w:pStyle w:val="aff3"/>
        <w:spacing w:line="259" w:lineRule="auto"/>
      </w:pPr>
      <w:r>
        <w:rPr>
          <w:rFonts w:ascii="KoPubWorld바탕체_Pro Light" w:hAnsi="KoPubWorld바탕체_Pro Light" w:eastAsia="KoPubWorld바탕체_Pro Light" w:cs="KoPubWorld바탕체_Pro Light"/>
          <w:sz w:val="16"/>
        </w:rPr>
        <w:t>손실 순서는 법률과 운영 능력이 만나는 자리다. 법에 채권자 부담을 써 두어도 주말에 잔액과 계약을 분리하지 못하면 집행할 수 없다. 반대로 기술적으로 가능해도 법적 근거 없이 계좌를 이전하면 권리 침해가 된다. 감독 구조의 마지막 완성품은 조직도가 아니라 실행 가능한 정리 매뉴얼이다.</w:t>
      </w:r>
    </w:p>
    <w:p>
      <w:pPr>
        <w:pStyle w:val="aff3"/>
        <w:spacing w:line="259" w:lineRule="auto"/>
      </w:pPr>
      <w:r>
        <w:rPr>
          <w:rFonts w:ascii="KoPubWorld바탕체_Pro Light" w:hAnsi="KoPubWorld바탕체_Pro Light" w:eastAsia="KoPubWorld바탕체_Pro Light" w:cs="KoPubWorld바탕체_Pro Light"/>
          <w:sz w:val="16"/>
        </w:rPr>
        <w:t>한국의 감독 개편은 국가가 신용을 직접 배분하던 체제에서 시장의 실패를 감시하고 정리하는 체제로 이동한 기록이다. 하지만 행정지도의 습관과 위기 구제의 기억은 남았다. 다음 시험대는 기업이 아니라 가계의 대차대조표였다. 카드 한 장, 저축은행 창구, 아파트 담보대출이 시스템 위험의 중심으로 들어오면서 감독은 기관의 장부뿐 아니라 수백만 채무자의 삶을 함께 보아야 했다.</w:t>
      </w:r>
    </w:p>
    <w:p>
      <w:pPr>
        <w:pStyle w:val="aff2"/>
        <w:pageBreakBefore/>
        <w:spacing w:before="440"/>
        <w:jc w:val="center"/>
      </w:pPr>
      <w:r>
        <w:rPr>
          <w:rFonts w:ascii="KoPubWorld바탕체_Pro Bold" w:hAnsi="KoPubWorld바탕체_Pro Bold" w:eastAsia="KoPubWorld바탕체_Pro Bold" w:cs="KoPubWorld바탕체_Pro Bold"/>
          <w:b/>
          <w:sz w:val="24"/>
        </w:rPr>
        <w:t>Chapter. 27</w:t>
      </w:r>
    </w:p>
    <w:p>
      <w:pPr>
        <w:pStyle w:val="aff1"/>
        <w:jc w:val="center"/>
      </w:pPr>
      <w:r>
        <w:rPr>
          <w:rFonts w:ascii="KoPubWorld바탕체_Pro Bold" w:hAnsi="KoPubWorld바탕체_Pro Bold" w:eastAsia="KoPubWorld바탕체_Pro Bold" w:cs="KoPubWorld바탕체_Pro Bold"/>
          <w:b/>
          <w:sz w:val="28"/>
        </w:rPr>
        <w:t>가계의 대차대조표 - 카드사태, 저축은행, 주택대출과 거시건전성</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신용카드 결제 승인은 몇 초면 끝난다. 단말기에 ‘승인’이 뜨는 순간 소비자는 물건을 받고, 가맹점은 받을 돈을 확신하며, 카드회사는 한 달 뒤의 소득을 현재로 끌어온다. 이 작은 편의에는 세 겹의 신용이 있다. 소비자가 갚을 것이라는 믿음, 카드회사가 가맹점에 지급할 것이라는 믿음, 카드회사가 시장에서 계속 자금을 조달할 수 있다는 믿음이다. 2003년의 카드사태는 셋째 고리가 끊기면 첫째와 둘째도 흔들린다는 것을 보여 주었다.</w:t>
      </w:r>
      <w:r>
        <w:rPr>
          <w:rFonts w:ascii="KoPubWorld바탕체_Pro Light" w:hAnsi="KoPubWorld바탕체_Pro Light" w:eastAsia="KoPubWorld바탕체_Pro Light" w:cs="KoPubWorld바탕체_Pro Light"/>
          <w:sz w:val="14"/>
          <w:vertAlign w:val="superscript"/>
        </w:rPr>
        <w:t>169</w:t>
      </w:r>
    </w:p>
    <w:p>
      <w:pPr>
        <w:pStyle w:val="aff3"/>
        <w:spacing w:line="259" w:lineRule="auto"/>
      </w:pPr>
      <w:r>
        <w:rPr>
          <w:rFonts w:ascii="KoPubWorld바탕체_Pro Light" w:hAnsi="KoPubWorld바탕체_Pro Light" w:eastAsia="KoPubWorld바탕체_Pro Light" w:cs="KoPubWorld바탕체_Pro Light"/>
          <w:sz w:val="16"/>
        </w:rPr>
        <w:t>외환위기 이전 한국 금융의 중심 위험은 대기업 대출이었다. 구조조정 이후 은행과 비은행은 가계라는 새 시장으로 빠르게 이동했다. 신용카드, 주택담보대출, 저축은행의 후순위채와 프로젝트금융은 서로 다른 상품이었지만 공통된 질문을 낳았다. 금융기관의 건전성을 지키는 규칙과 채무자의 삶을 지키는 규칙은 어디에서 만나야 하는가. 대출을 너무 쉽게 하면 과잉채무가 생기고, 너무 빨리 닫으면 취약한 사람이 먼저 불법·고금리 시장으로 밀려난다.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카드 한도가 소득을 앞지를 때</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신용카드는 결제 혁신이자 단기 무담보 대출이다. 현금을 들고 다닐 필요를 줄이고 거래 기록을 남기며 상인의 매출을 넓힌다. 그러나 발급과 한도가 상환능력보다 시장점유율 경쟁을 따라가면 미래 소득이 과도하게 당겨진다. 카드사는 대출을 예금으로 조달하지 않고 카드채와 자산유동화증권 등 시장성 자금에 크게 의존하므로 투자자의 신뢰가 흔들릴 때 만기를 연장하기 어렵다.</w:t>
      </w:r>
    </w:p>
    <w:p>
      <w:pPr>
        <w:pStyle w:val="aff3"/>
        <w:spacing w:line="259" w:lineRule="auto"/>
      </w:pPr>
      <w:r>
        <w:rPr>
          <w:rFonts w:ascii="KoPubWorld바탕체_Pro Light" w:hAnsi="KoPubWorld바탕체_Pro Light" w:eastAsia="KoPubWorld바탕체_Pro Light" w:cs="KoPubWorld바탕체_Pro Light"/>
          <w:sz w:val="16"/>
        </w:rPr>
        <w:t>2003년 카드사태에서 카드사의 유동성 위기는 카드채를 보유한 투자신탁과 금융시장으로 번질 우려를 낳았다. 금융당국은 이후 여신전문금융회사에 레버리지 규율을 도입하고, 과거 회사채 발행 특례를 폐지하는 논거로 카드사태의 시스템 위험을 들었다.</w:t>
      </w:r>
      <w:r>
        <w:rPr>
          <w:rFonts w:ascii="KoPubWorld바탕체_Pro Light" w:hAnsi="KoPubWorld바탕체_Pro Light" w:eastAsia="KoPubWorld바탕체_Pro Light" w:cs="KoPubWorld바탕체_Pro Light"/>
          <w:sz w:val="14"/>
          <w:vertAlign w:val="superscript"/>
        </w:rPr>
        <w:t>169</w:t>
      </w:r>
      <w:r>
        <w:rPr>
          <w:rFonts w:ascii="KoPubWorld바탕체_Pro Light" w:hAnsi="KoPubWorld바탕체_Pro Light" w:eastAsia="KoPubWorld바탕체_Pro Light" w:cs="KoPubWorld바탕체_Pro Light"/>
          <w:sz w:val="16"/>
        </w:rPr>
        <w:t xml:space="preserve"> 문제의 핵심이 연체율만이 아니라 자산의 신용위험과 부채의 차환위험이 결합한 데 있었기 때문이다.</w:t>
      </w:r>
    </w:p>
    <w:p>
      <w:pPr>
        <w:pStyle w:val="aff3"/>
        <w:spacing w:line="259" w:lineRule="auto"/>
      </w:pPr>
      <w:r>
        <w:rPr>
          <w:rFonts w:ascii="KoPubWorld바탕체_Pro Light" w:hAnsi="KoPubWorld바탕체_Pro Light" w:eastAsia="KoPubWorld바탕체_Pro Light" w:cs="KoPubWorld바탕체_Pro Light"/>
          <w:sz w:val="16"/>
        </w:rPr>
        <w:t>카드회원 보호와 카드사 건전성은 분리되지 않는다. 상환능력 심사를 느슨하게 하면 처음에는 금융 접근이 넓어 보이지만, 연체가 늘면 카드사는 한도를 일괄 축소하고 금리를 올린다. 호황기에 과도하게 넓힌 접근이 불황기에 갑자기 닫히면서 소비와 생계가 함께 위축된다. 그래서 발급 기준과 한도 관리, 모집인의 설명, 금리 공시와 채무조정은 거시안정 정책이기도 하다.</w:t>
      </w:r>
    </w:p>
    <w:p>
      <w:pPr>
        <w:pStyle w:val="aff3"/>
        <w:spacing w:line="259" w:lineRule="auto"/>
      </w:pPr>
      <w:r>
        <w:rPr>
          <w:rFonts w:ascii="KoPubWorld바탕체_Pro Light" w:hAnsi="KoPubWorld바탕체_Pro Light" w:eastAsia="KoPubWorld바탕체_Pro Light" w:cs="KoPubWorld바탕체_Pro Light"/>
          <w:sz w:val="16"/>
        </w:rPr>
        <w:t>카드 경쟁은 혜택의 가격을 숨기기도 한다. 포인트와 무이자할부는 이용자에게 편익을 주지만 그 비용은 가맹점 수수료, 연회비와 대출금리에 나뉜다. 무료처럼 보이는 혜택이 고금리 현금서비스 이용자에게 교차 보조될 수 있다. 상품별 수익과 고객군별 손실을 보면 판매 경쟁이 누구의 부채로 유지되는지 알 수 있다.</w:t>
      </w:r>
    </w:p>
    <w:p>
      <w:pPr>
        <w:pStyle w:val="aff3"/>
        <w:spacing w:line="259" w:lineRule="auto"/>
      </w:pPr>
      <w:r>
        <w:rPr>
          <w:rFonts w:ascii="KoPubWorld바탕체_Pro Light" w:hAnsi="KoPubWorld바탕체_Pro Light" w:eastAsia="KoPubWorld바탕체_Pro Light" w:cs="KoPubWorld바탕체_Pro Light"/>
          <w:sz w:val="16"/>
        </w:rPr>
        <w:t>모집 단계의 규율은 위기 방지의 앞단이다. 발급 수만 성과로 삼고 상환 이후를 보지 않으면 영업조직은 위험을 외부화한다. 신규 회원의 장기 연체와 민원, 채무조정까지 보상체계에 반영해야 한다. 심사 모델만 고쳐도 판매자의 유인이 그대로라면 과잉신용은 다른 상품으로 돌아온다.</w:t>
      </w:r>
    </w:p>
    <w:p>
      <w:pPr>
        <w:pStyle w:val="aff3"/>
        <w:spacing w:line="259" w:lineRule="auto"/>
      </w:pPr>
      <w:r>
        <w:rPr>
          <w:rFonts w:ascii="KoPubWorld바탕체_Pro Light" w:hAnsi="KoPubWorld바탕체_Pro Light" w:eastAsia="KoPubWorld바탕체_Pro Light" w:cs="KoPubWorld바탕체_Pro Light"/>
          <w:sz w:val="16"/>
        </w:rPr>
        <w:t>구제의 설계도 중요했다. 카드회사를 무질서하게 파산시키면 결제망과 채권시장이 멈출 수 있다. 그렇다고 주주와 경영진을 그대로 둔 채 유동성만 무제한 공급하면 다음 경쟁에서 같은 위험을 반복한다. 일시적 유동성 문제와 자본이 사라진 지급불능을 구별하고, 기존 자본의 손실과 구조조정을 지원 조건으로 붙여야 했다. 위기관리의 속도와 책임의 순서를 동시에 지키기 어려운 전형적인 사례다.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저축은행의 이름과 실제 위험</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상호저축은행은 지역과 서민에게 예금·대출을 제공하는 중요한 창구다. 대형 은행이 충분히 보지 않는 소규모 사업자와 담보를 다루며 금융 접근을 보완한다. 그러나 높은 예금금리로 자금을 모아 부동산 프로젝트금융과 대주주 관련 대출에 집중하면 ‘서민금융’이라는 이름과 실제 자산구성이 멀어질 수 있다.</w:t>
      </w:r>
    </w:p>
    <w:p>
      <w:pPr>
        <w:pStyle w:val="aff3"/>
        <w:spacing w:line="259" w:lineRule="auto"/>
      </w:pPr>
      <w:r>
        <w:rPr>
          <w:rFonts w:ascii="KoPubWorld바탕체_Pro Light" w:hAnsi="KoPubWorld바탕체_Pro Light" w:eastAsia="KoPubWorld바탕체_Pro Light" w:cs="KoPubWorld바탕체_Pro Light"/>
          <w:sz w:val="16"/>
        </w:rPr>
        <w:t>2011년 저축은행 부실 사태 뒤 예금보험기금에는 저축은행 구조조정 특별계정이 설치되었다. 2011년부터 2015년까지 모두 31개 저축은행을 정리하는 데 27조 2천억 원이 지원되었다.</w:t>
      </w:r>
      <w:r>
        <w:rPr>
          <w:rFonts w:ascii="KoPubWorld바탕체_Pro Light" w:hAnsi="KoPubWorld바탕체_Pro Light" w:eastAsia="KoPubWorld바탕체_Pro Light" w:cs="KoPubWorld바탕체_Pro Light"/>
          <w:sz w:val="14"/>
          <w:vertAlign w:val="superscript"/>
        </w:rPr>
        <w:t>170</w:t>
      </w:r>
      <w:r>
        <w:rPr>
          <w:rFonts w:ascii="KoPubWorld바탕체_Pro Light" w:hAnsi="KoPubWorld바탕체_Pro Light" w:eastAsia="KoPubWorld바탕체_Pro Light" w:cs="KoPubWorld바탕체_Pro Light"/>
          <w:sz w:val="16"/>
        </w:rPr>
        <w:t xml:space="preserve"> 한 업권의 보험료만으로 감당하기 어려워 다른 금융업권의 보험료 수입과 회수자금이 함께 쓰였다. 시스템 안정 비용을 금융권이 공동 부담한 셈이지만, 건전하게 운영한 업권이 부실 업권을 지원한다는 형평성 논쟁도 남았다.</w:t>
      </w:r>
    </w:p>
    <w:p>
      <w:pPr>
        <w:pStyle w:val="aff3"/>
        <w:spacing w:line="259" w:lineRule="auto"/>
      </w:pPr>
      <w:r>
        <w:rPr>
          <w:rFonts w:ascii="KoPubWorld바탕체_Pro Light" w:hAnsi="KoPubWorld바탕체_Pro Light" w:eastAsia="KoPubWorld바탕체_Pro Light" w:cs="KoPubWorld바탕체_Pro Light"/>
          <w:sz w:val="16"/>
        </w:rPr>
        <w:t>저축은행 사태는 예금보험이 왜 감독을 대신할 수 없는지 보여 준다. 예금자는 보호한도 안에서 안심할 수 있으므로 높은 금리를 제시하는 기관으로 이동한다. 은행은 그 자금을 더 높은 수익의 위험자산에 투자할 유인을 가진다. 감독이 대주주 거래와 자산 집중을 늦게 발견하면 보험기금이 손실을 떠안는다. 보험료를 위험에 맞게 매기고, 대주주 적격성과 내부통제를 심사하며, 부실을 조기에 정리하는 장치가 함께 있어야 한다.</w:t>
      </w:r>
    </w:p>
    <w:p>
      <w:pPr>
        <w:pStyle w:val="aff3"/>
        <w:spacing w:line="259" w:lineRule="auto"/>
      </w:pPr>
      <w:r>
        <w:rPr>
          <w:rFonts w:ascii="KoPubWorld바탕체_Pro Light" w:hAnsi="KoPubWorld바탕체_Pro Light" w:eastAsia="KoPubWorld바탕체_Pro Light" w:cs="KoPubWorld바탕체_Pro Light"/>
          <w:sz w:val="16"/>
        </w:rPr>
        <w:t>후순위채 판매는 건전성과 소비자보호의 경계를 드러냈다. 금융회사에는 손실을 흡수할 자본성 자금이지만, 창구에서 예금처럼 설명을 들은 개인에게는 원금 손실이 가능한 투자상품이다. 같은 종이 한쪽 장부에서는 안전판이고 다른 쪽에서는 생애 저축의 위험이 된다. 상품의 법적 명칭보다 고객이 실제로 이해한 위험을 묻는 판매 규제가 필요했다.</w:t>
      </w:r>
    </w:p>
    <w:p>
      <w:pPr>
        <w:pStyle w:val="aff3"/>
        <w:spacing w:line="259" w:lineRule="auto"/>
      </w:pPr>
      <w:r>
        <w:rPr>
          <w:rFonts w:ascii="KoPubWorld바탕체_Pro Light" w:hAnsi="KoPubWorld바탕체_Pro Light" w:eastAsia="KoPubWorld바탕체_Pro Light" w:cs="KoPubWorld바탕체_Pro Light"/>
          <w:sz w:val="16"/>
        </w:rPr>
        <w:t>지역밀착 금융의 강점은 표준 점수에 없는 정보를 아는 데 있다. 그러나 지역의 부동산과 몇 개 사업자에 대출이 몰리면 정보 우위가 집중위험으로 바뀐다. ‘잘 아는 고객’이라는 자신감이 담보가격 하락과 계열 관계를 과소평가하게 할 수도 있다. 관계형 금융에는 포트폴리오 한도와 외부 검증이 함께 필요하다.</w:t>
      </w:r>
    </w:p>
    <w:p>
      <w:pPr>
        <w:pStyle w:val="aff3"/>
        <w:spacing w:line="259" w:lineRule="auto"/>
      </w:pPr>
      <w:r>
        <w:rPr>
          <w:rFonts w:ascii="KoPubWorld바탕체_Pro Light" w:hAnsi="KoPubWorld바탕체_Pro Light" w:eastAsia="KoPubWorld바탕체_Pro Light" w:cs="KoPubWorld바탕체_Pro Light"/>
          <w:sz w:val="16"/>
        </w:rPr>
        <w:t>대주주의 영향력은 예금자의 위험과 비대칭이다. 대주주는 관련 사업에 대출을 몰아 이익을 얻을 수 있지만 실패하면 유한책임 뒤에 남은 손실을 예금보험이 부담한다. 적격성 심사와 관련자 여신 제한은 소유권을 침해하기 위한 규제가 아니라 안전망의 비용을 사적으로 이용하지 못하게 하는 조건이다.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집값과 은행을 동시에 보는 규칙</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주택담보대출은 담보가 있어 개별 은행에는 안전해 보인다. 여러 은행이 동시에 주택을 담보로 잡고 가계가 같은 가격 상승을 믿을 때는 이야기가 달라진다. 집값이 떨어지면 담보가치와 소비, 건설, 금융기관의 회수율이 함께 낮아진다. 개별 대출의 안전이 모여 시스템의 집중위험을 만들 수 있다.</w:t>
      </w:r>
    </w:p>
    <w:p>
      <w:pPr>
        <w:pStyle w:val="aff3"/>
        <w:spacing w:line="259" w:lineRule="auto"/>
      </w:pPr>
      <w:r>
        <w:rPr>
          <w:rFonts w:ascii="KoPubWorld바탕체_Pro Light" w:hAnsi="KoPubWorld바탕체_Pro Light" w:eastAsia="KoPubWorld바탕체_Pro Light" w:cs="KoPubWorld바탕체_Pro Light"/>
          <w:sz w:val="16"/>
        </w:rPr>
        <w:t>한국은 주택가격 대비 대출비율인 LTV를 2002년에, 소득 대비 원리금 부담을 보는 DTI를 2005년에 도입했다.</w:t>
      </w:r>
      <w:r>
        <w:rPr>
          <w:rFonts w:ascii="KoPubWorld바탕체_Pro Light" w:hAnsi="KoPubWorld바탕체_Pro Light" w:eastAsia="KoPubWorld바탕체_Pro Light" w:cs="KoPubWorld바탕체_Pro Light"/>
          <w:sz w:val="14"/>
          <w:vertAlign w:val="superscript"/>
        </w:rPr>
        <w:t>171</w:t>
      </w:r>
      <w:r>
        <w:rPr>
          <w:rFonts w:ascii="KoPubWorld바탕체_Pro Light" w:hAnsi="KoPubWorld바탕체_Pro Light" w:eastAsia="KoPubWorld바탕체_Pro Light" w:cs="KoPubWorld바탕체_Pro Light"/>
          <w:sz w:val="16"/>
        </w:rPr>
        <w:t xml:space="preserve"> LTV는 담보가격이 떨어질 때 남을 완충을 요구하고, DTI는 차주의 소득으로 이자와 원금을 감당할 수 있는지 본다. 하나는 자산 쪽, 다른 하나는 현금흐름 쪽의 방어선이다.</w:t>
      </w:r>
    </w:p>
    <w:p>
      <w:pPr>
        <w:pStyle w:val="aff3"/>
        <w:spacing w:line="259" w:lineRule="auto"/>
      </w:pPr>
      <w:r>
        <w:rPr>
          <w:rFonts w:ascii="KoPubWorld바탕체_Pro Light" w:hAnsi="KoPubWorld바탕체_Pro Light" w:eastAsia="KoPubWorld바탕체_Pro Light" w:cs="KoPubWorld바탕체_Pro Light"/>
          <w:sz w:val="16"/>
        </w:rPr>
        <w:t>두 지표는 지역과 시기에 따라 강화와 완화를 거듭했다. 2002년 9월 투기지역·투기과열지구에서 LTV 60퍼센트 이하로 시작해 범위와 비율이 바뀌었고, 주택시장 상황에 따라 규제지역이 조정되었다.</w:t>
      </w:r>
      <w:r>
        <w:rPr>
          <w:rFonts w:ascii="KoPubWorld바탕체_Pro Light" w:hAnsi="KoPubWorld바탕체_Pro Light" w:eastAsia="KoPubWorld바탕체_Pro Light" w:cs="KoPubWorld바탕체_Pro Light"/>
          <w:sz w:val="14"/>
          <w:vertAlign w:val="superscript"/>
        </w:rPr>
        <w:t>172</w:t>
      </w:r>
      <w:r>
        <w:rPr>
          <w:rFonts w:ascii="KoPubWorld바탕체_Pro Light" w:hAnsi="KoPubWorld바탕체_Pro Light" w:eastAsia="KoPubWorld바탕체_Pro Light" w:cs="KoPubWorld바탕체_Pro Light"/>
          <w:sz w:val="16"/>
        </w:rPr>
        <w:t xml:space="preserve"> 이 탄력성은 경기대응 수단의 장점이지만 정책 목적을 흐릴 위험도 있다. 금융안정을 위한 대출 규제가 집값을 원하는 방향으로 움직이는 단기 부동산정책으로만 쓰이면 예측 가능성과 정당성이 약해진다.</w:t>
      </w:r>
    </w:p>
    <w:p>
      <w:pPr>
        <w:pStyle w:val="aff3"/>
        <w:spacing w:line="259" w:lineRule="auto"/>
      </w:pPr>
      <w:r>
        <w:rPr>
          <w:rFonts w:ascii="KoPubWorld바탕체_Pro Light" w:hAnsi="KoPubWorld바탕체_Pro Light" w:eastAsia="KoPubWorld바탕체_Pro Light" w:cs="KoPubWorld바탕체_Pro Light"/>
          <w:sz w:val="16"/>
        </w:rPr>
        <w:t>총부채원리금상환비율인 DSR은 한 금융회사의 주택대출만이 아니라 차주의 모든 대출 원리금을 연 소득과 비교한다. 2017년 도입계획 발표 뒤 2018년 3월 은행권에서 시범운영을 시작했고, 비은행권으로 순차 확대되었다.</w:t>
      </w:r>
      <w:r>
        <w:rPr>
          <w:rFonts w:ascii="KoPubWorld바탕체_Pro Light" w:hAnsi="KoPubWorld바탕체_Pro Light" w:eastAsia="KoPubWorld바탕체_Pro Light" w:cs="KoPubWorld바탕체_Pro Light"/>
          <w:sz w:val="14"/>
          <w:vertAlign w:val="superscript"/>
        </w:rPr>
        <w:t>173</w:t>
      </w:r>
      <w:r>
        <w:rPr>
          <w:rFonts w:ascii="KoPubWorld바탕체_Pro Light" w:hAnsi="KoPubWorld바탕체_Pro Light" w:eastAsia="KoPubWorld바탕체_Pro Light" w:cs="KoPubWorld바탕체_Pro Light"/>
          <w:sz w:val="16"/>
        </w:rPr>
        <w:t xml:space="preserve"> 여러 기관에서 나누어 빌려 개별 규제를 우회하는 문제를 차주 단위로 보려는 변화였다.</w:t>
      </w:r>
    </w:p>
    <w:p>
      <w:pPr>
        <w:pStyle w:val="aff3"/>
        <w:spacing w:line="259" w:lineRule="auto"/>
      </w:pPr>
      <w:r>
        <w:rPr>
          <w:rFonts w:ascii="KoPubWorld바탕체_Pro Light" w:hAnsi="KoPubWorld바탕체_Pro Light" w:eastAsia="KoPubWorld바탕체_Pro Light" w:cs="KoPubWorld바탕체_Pro Light"/>
          <w:sz w:val="16"/>
        </w:rPr>
        <w:t>차주 중심 규제는 더 정확하지만 더 많은 데이터를 요구한다. 소득이 불규칙한 자영업자와 청년, 미래 소득이 늘 가능성이 큰 차주를 과소평가할 수 있다. 공식 소득 증빙이 약한 사람은 상환 의지가 있어도 대출 문턱을 넘지 못한다. 따라서 DSR은 예외를 무한히 넓히지도, 단일 숫자로 모든 삶을 재단하지도 않아야 한다. 예외의 기준과 총량을 공개하고 우회대출을 감시해야 한다.</w:t>
      </w:r>
    </w:p>
    <w:p>
      <w:pPr>
        <w:pStyle w:val="aff3"/>
        <w:spacing w:line="259" w:lineRule="auto"/>
      </w:pPr>
      <w:r>
        <w:rPr>
          <w:rFonts w:ascii="KoPubWorld바탕체_Pro Light" w:hAnsi="KoPubWorld바탕체_Pro Light" w:eastAsia="KoPubWorld바탕체_Pro Light" w:cs="KoPubWorld바탕체_Pro Light"/>
          <w:sz w:val="16"/>
        </w:rPr>
        <w:t>LTV와 DSR은 분배에도 영향을 준다. 자기자본이 많은 가구는 같은 집을 더 쉽게 사고, 임대료를 내며 자산을 모으려는 가구는 높은 문턱을 만난다. 금융안정의 편익은 모두가 누리지만 단기 접근 제한은 자산이 적은 사람에게 집중될 수 있다. 주거정책과 보증, 임대시장 정책이 대출규제의 분배 효과를 보완해야 한다.</w:t>
      </w:r>
    </w:p>
    <w:p>
      <w:pPr>
        <w:pStyle w:val="aff3"/>
        <w:spacing w:line="259" w:lineRule="auto"/>
      </w:pPr>
      <w:r>
        <w:rPr>
          <w:rFonts w:ascii="KoPubWorld바탕체_Pro Light" w:hAnsi="KoPubWorld바탕체_Pro Light" w:eastAsia="KoPubWorld바탕체_Pro Light" w:cs="KoPubWorld바탕체_Pro Light"/>
          <w:sz w:val="16"/>
        </w:rPr>
        <w:t>규제를 완화할 때도 대칭적 주의가 필요하다. 집값 하락과 경기 둔화를 이유로 한도를 넓히면 기존 차주의 급매를 막을 수 있지만, 아직 가격이 높은 상태에서 새 부채를 늘려 조정을 뒤로 미룰 수도 있다. 목표가 금융안정인지 거래 활성화인지 밝히고, 완화의 종료 조건을 정해야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건전성에서 판매행위로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은행이 쓰러지지 않는다고 소비자가 보호되는 것은 아니다. 튼튼한 금융회사가 복잡한 상품을 불완전판매하거나, 연체자에게 과도한 추심을 하거나, 알고리즘이 차별적으로 가격을 정할 수 있다. 한국의 감독은 위기를 거치며 기관 건전성에서 거래 과정의 공정성으로 범위를 넓혔다.</w:t>
      </w:r>
    </w:p>
    <w:p>
      <w:pPr>
        <w:pStyle w:val="aff3"/>
        <w:spacing w:line="259" w:lineRule="auto"/>
      </w:pPr>
      <w:r>
        <w:rPr>
          <w:rFonts w:ascii="KoPubWorld바탕체_Pro Light" w:hAnsi="KoPubWorld바탕체_Pro Light" w:eastAsia="KoPubWorld바탕체_Pro Light" w:cs="KoPubWorld바탕체_Pro Light"/>
          <w:sz w:val="16"/>
        </w:rPr>
        <w:t>2020년 3월 24일 제정되어 2021년 3월 25일 시행된 금융소비자보호법은 금융상품을 성격에 따라 나누고 판매업자의 유형을 가로질러 적합성·적정성, 설명의무, 불공정영업행위와 부당권유 금지, 광고 규율 등 여섯 판매원칙을 원칙적으로 적용했다. 다만 각 원칙의 구체적인 적용 여부와 요건은 상품·판매 유형과 법정 예외에 따라 달랐다. 청약철회와 위법계약 해지, 분쟁 때의 자료 접근 같은 권리도 마련했다.</w:t>
      </w:r>
      <w:r>
        <w:rPr>
          <w:rFonts w:ascii="KoPubWorld바탕체_Pro Light" w:hAnsi="KoPubWorld바탕체_Pro Light" w:eastAsia="KoPubWorld바탕체_Pro Light" w:cs="KoPubWorld바탕체_Pro Light"/>
          <w:sz w:val="14"/>
          <w:vertAlign w:val="superscript"/>
        </w:rPr>
        <w:t>174</w:t>
      </w:r>
      <w:r>
        <w:rPr>
          <w:rFonts w:ascii="KoPubWorld바탕체_Pro Light" w:hAnsi="KoPubWorld바탕체_Pro Light" w:eastAsia="KoPubWorld바탕체_Pro Light" w:cs="KoPubWorld바탕체_Pro Light"/>
          <w:sz w:val="14"/>
          <w:vertAlign w:val="superscript"/>
        </w:rPr>
        <w:t>175</w:t>
      </w:r>
    </w:p>
    <w:p>
      <w:pPr>
        <w:pStyle w:val="aff3"/>
        <w:spacing w:line="259" w:lineRule="auto"/>
      </w:pPr>
      <w:r>
        <w:rPr>
          <w:rFonts w:ascii="KoPubWorld바탕체_Pro Light" w:hAnsi="KoPubWorld바탕체_Pro Light" w:eastAsia="KoPubWorld바탕체_Pro Light" w:cs="KoPubWorld바탕체_Pro Light"/>
          <w:sz w:val="16"/>
        </w:rPr>
        <w:t>이 법의 의미는 업권별 민원 규칙을 하나의 소비자 관점으로 바꾼 데 있다. 같은 위험의 상품이라면 은행 창구, 증권 앱, 보험설계사 중 어디에서 팔리든 설명과 책임이 달라져서는 안 된다. ‘서명했다’는 사실만으로 이해를 추정하지 않고 고객의 목적과 경험, 손실 감내 능력을 확인하게 했다.</w:t>
      </w:r>
    </w:p>
    <w:p>
      <w:pPr>
        <w:pStyle w:val="aff3"/>
        <w:spacing w:line="259" w:lineRule="auto"/>
      </w:pPr>
      <w:r>
        <w:rPr>
          <w:rFonts w:ascii="KoPubWorld바탕체_Pro Light" w:hAnsi="KoPubWorld바탕체_Pro Light" w:eastAsia="KoPubWorld바탕체_Pro Light" w:cs="KoPubWorld바탕체_Pro Light"/>
          <w:sz w:val="16"/>
        </w:rPr>
        <w:t>다만 설명서가 길어진다고 이해가 늘지는 않는다. 금융회사가 제재를 피하려 수십 개의 확인란을 만들면 정보는 많아져도 핵심 위험은 더 숨는다. 좋은 행위규제는 문서의 양이 아니라 의사결정에 중요한 내용을 적시에 비교 가능하게 전달하는지 본다. 감독도 서식 준수보다 실제 판매 대화와 성과, 특정 고객군에 손실이 집중되는지를 살펴야 한다.</w:t>
      </w:r>
    </w:p>
    <w:p>
      <w:pPr>
        <w:pStyle w:val="aff3"/>
        <w:spacing w:line="259" w:lineRule="auto"/>
      </w:pPr>
      <w:r>
        <w:rPr>
          <w:rFonts w:ascii="KoPubWorld바탕체_Pro Light" w:hAnsi="KoPubWorld바탕체_Pro Light" w:eastAsia="KoPubWorld바탕체_Pro Light" w:cs="KoPubWorld바탕체_Pro Light"/>
          <w:sz w:val="16"/>
        </w:rPr>
        <w:t>구제 절차의 접근성도 권리의 일부다. 피해액이 작고 절차가 길면 소비자는 법적 권리가 있어도 포기한다. 민원, 분쟁조정과 소송 사이의 연결을 단순하게 하고 금융회사가 보유한 녹취·모델 기록을 보전해야 한다. 개인 사건의 반복 패턴을 감독과 상품 개선으로 되돌리는 피드백이 필요하다.</w:t>
      </w:r>
    </w:p>
    <w:p>
      <w:pPr>
        <w:pStyle w:val="aff3"/>
        <w:spacing w:line="259" w:lineRule="auto"/>
      </w:pPr>
      <w:r>
        <w:rPr>
          <w:rFonts w:ascii="KoPubWorld바탕체_Pro Light" w:hAnsi="KoPubWorld바탕체_Pro Light" w:eastAsia="KoPubWorld바탕체_Pro Light" w:cs="KoPubWorld바탕체_Pro Light"/>
          <w:sz w:val="16"/>
        </w:rPr>
        <w:t>행위규제는 사후 배상만을 목표로 하지 않는다. 잘못 팔린 상품의 수익이 제재 가능 손실보다 크면 위반은 사업비가 된다. 경영진 보상과 상품승인, 반복 위반에 대한 제재를 연결해야 판매 현장의 유인이 바뀐다. 소비자보호의 책임선은 창구 직원에서 끝나지 않는다.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금리의 천장과 안전망의 바닥</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이자제한법은 1998년 폐지되었다가 2007년 다시 제정되었다.</w:t>
      </w:r>
      <w:r>
        <w:rPr>
          <w:rFonts w:ascii="KoPubWorld바탕체_Pro Light" w:hAnsi="KoPubWorld바탕체_Pro Light" w:eastAsia="KoPubWorld바탕체_Pro Light" w:cs="KoPubWorld바탕체_Pro Light"/>
          <w:sz w:val="14"/>
          <w:vertAlign w:val="superscript"/>
        </w:rPr>
        <w:t>176</w:t>
      </w:r>
      <w:r>
        <w:rPr>
          <w:rFonts w:ascii="KoPubWorld바탕체_Pro Light" w:hAnsi="KoPubWorld바탕체_Pro Light" w:eastAsia="KoPubWorld바탕체_Pro Light" w:cs="KoPubWorld바탕체_Pro Light"/>
          <w:sz w:val="16"/>
        </w:rPr>
        <w:t xml:space="preserve"> 시장 금리를 존중하더라도 협상력이 현저히 약한 차주에게 무제한 가격을 허용하면 채무가 생존 기반을 파괴한다는 판단이 돌아온 것이다. 2021년 7월 7일부터 법정 최고금리는 연 20퍼센트로 낮아졌다.</w:t>
      </w:r>
      <w:r>
        <w:rPr>
          <w:rFonts w:ascii="KoPubWorld바탕체_Pro Light" w:hAnsi="KoPubWorld바탕체_Pro Light" w:eastAsia="KoPubWorld바탕체_Pro Light" w:cs="KoPubWorld바탕체_Pro Light"/>
          <w:sz w:val="14"/>
          <w:vertAlign w:val="superscript"/>
        </w:rPr>
        <w:t>177</w:t>
      </w:r>
    </w:p>
    <w:p>
      <w:pPr>
        <w:pStyle w:val="aff3"/>
        <w:spacing w:line="259" w:lineRule="auto"/>
      </w:pPr>
      <w:r>
        <w:rPr>
          <w:rFonts w:ascii="KoPubWorld바탕체_Pro Light" w:hAnsi="KoPubWorld바탕체_Pro Light" w:eastAsia="KoPubWorld바탕체_Pro Light" w:cs="KoPubWorld바탕체_Pro Light"/>
          <w:sz w:val="16"/>
        </w:rPr>
        <w:t>최고금리 인하는 과도한 이자 부담을 직접 줄이지만, 높은 위험의 차주가 제도권 대출에서 배제될 수 있다. 그래서 상한만 낮추고 공공·중금리 신용, 채무조정과 불법사금융 단속을 확충하지 않으면 비용이 장부 밖으로 이동한다. 금리규제는 언제나 ‘얼마가 너무 높은가’와 ‘그보다 낮은 가격에 누가 빌려 줄 것인가’를 함께 물어야 한다.</w:t>
      </w:r>
    </w:p>
    <w:p>
      <w:pPr>
        <w:pStyle w:val="aff3"/>
        <w:spacing w:line="259" w:lineRule="auto"/>
      </w:pPr>
      <w:r>
        <w:rPr>
          <w:rFonts w:ascii="KoPubWorld바탕체_Pro Light" w:hAnsi="KoPubWorld바탕체_Pro Light" w:eastAsia="KoPubWorld바탕체_Pro Light" w:cs="KoPubWorld바탕체_Pro Light"/>
          <w:sz w:val="16"/>
        </w:rPr>
        <w:t>예금 쪽의 바닥은 예금보험이다. 2025년 9월부터 보호한도가 금융회사별 1인당 1억 원으로 높아졌다.</w:t>
      </w:r>
      <w:r>
        <w:rPr>
          <w:rFonts w:ascii="KoPubWorld바탕체_Pro Light" w:hAnsi="KoPubWorld바탕체_Pro Light" w:eastAsia="KoPubWorld바탕체_Pro Light" w:cs="KoPubWorld바탕체_Pro Light"/>
          <w:sz w:val="14"/>
          <w:vertAlign w:val="superscript"/>
        </w:rPr>
        <w:t>165</w:t>
      </w:r>
      <w:r>
        <w:rPr>
          <w:rFonts w:ascii="KoPubWorld바탕체_Pro Light" w:hAnsi="KoPubWorld바탕체_Pro Light" w:eastAsia="KoPubWorld바탕체_Pro Light" w:cs="KoPubWorld바탕체_Pro Light"/>
          <w:sz w:val="16"/>
        </w:rPr>
        <w:t xml:space="preserve"> 보호는 가계가 모든 은행의 재무제표를 분석하지 않고도 결제와 저축을 이어가게 한다. 반면 보호한도 밖의 고액 자금과 투자상품까지 예금처럼 보이게 판매하면 다시 오해가 생긴다. 보호 대상, 원금 손실 가능성과 정리 시점을 명확히 구분하는 것이 중요하다.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가계는 작은 은행이 아니다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가계의 대차대조표를 은행처럼만 보면 정책이 차가워진다. 연체는 자산 건전성 지표이기 전에 주거, 교육, 의료와 일자리의 사건이다. 은행은 포트폴리오를 분산하고 자본을 늘릴 수 있지만 한 가계는 집 한 채와 한 사람의 소득에 집중되어 있다. 같은 금리 인상도 금융회사에는 마진의 변화이고 변동금리 차주에게는 식비의 변화다.</w:t>
      </w:r>
    </w:p>
    <w:p>
      <w:pPr>
        <w:pStyle w:val="aff3"/>
        <w:spacing w:line="259" w:lineRule="auto"/>
      </w:pPr>
      <w:r>
        <w:rPr>
          <w:rFonts w:ascii="KoPubWorld바탕체_Pro Light" w:hAnsi="KoPubWorld바탕체_Pro Light" w:eastAsia="KoPubWorld바탕체_Pro Light" w:cs="KoPubWorld바탕체_Pro Light"/>
          <w:sz w:val="16"/>
        </w:rPr>
        <w:t>가계부채는 경기의 진폭도 키운다. 소득과 집값이 오를 때 담보와 대출이 함께 늘고, 하락기에는 상환을 위해 소비를 먼저 줄인다. 은행의 연체가 아직 낮아도 소비 감소가 기업 매출과 고용을 통해 다시 신용위험으로 돌아올 수 있다. 거시건전성 감독은 연체율보다 앞선 이 순환을 본다.</w:t>
      </w:r>
    </w:p>
    <w:p>
      <w:pPr>
        <w:pStyle w:val="aff3"/>
        <w:spacing w:line="259" w:lineRule="auto"/>
      </w:pPr>
      <w:r>
        <w:rPr>
          <w:rFonts w:ascii="KoPubWorld바탕체_Pro Light" w:hAnsi="KoPubWorld바탕체_Pro Light" w:eastAsia="KoPubWorld바탕체_Pro Light" w:cs="KoPubWorld바탕체_Pro Light"/>
          <w:sz w:val="16"/>
        </w:rPr>
        <w:t>그렇다고 모든 채무를 보호하면 신용의 가격과 책임이 무너진다. 상환능력 심사, 책임 있는 대출과 책임 있는 차입, 신속한 채무조정이 하나의 체계를 이뤄야 한다. 빚을 갚을 수 없는 사람을 오래 추심해도 회수액은 늘지 않고 경제활동 복귀만 늦어질 수 있다. 반대로 전략적 연체를 걸러 내지 못하면 성실 상환자가 비용을 부담한다.</w:t>
      </w:r>
    </w:p>
    <w:p>
      <w:pPr>
        <w:pStyle w:val="aff3"/>
        <w:spacing w:line="259" w:lineRule="auto"/>
      </w:pPr>
      <w:r>
        <w:rPr>
          <w:rFonts w:ascii="KoPubWorld바탕체_Pro Light" w:hAnsi="KoPubWorld바탕체_Pro Light" w:eastAsia="KoPubWorld바탕체_Pro Light" w:cs="KoPubWorld바탕체_Pro Light"/>
          <w:sz w:val="16"/>
        </w:rPr>
        <w:t>카드사태와 저축은행 사태, 주택대출 규제는 서로 다른 위기처럼 보이지만 같은 교훈을 남겼다. 개별 금융회사가 안전하다고 판단한 거래가 가계와 시장 전체에 집중되면 시스템 위험이 된다. 소비자보호는 사후 민원 처리가 아니라 과도한 레버리지가 쌓이는 것을 막는 예방적 금융안정 정책이다.</w:t>
      </w:r>
    </w:p>
    <w:p>
      <w:pPr>
        <w:pStyle w:val="aff3"/>
        <w:spacing w:line="259" w:lineRule="auto"/>
      </w:pPr>
      <w:r>
        <w:rPr>
          <w:rFonts w:ascii="KoPubWorld바탕체_Pro Light" w:hAnsi="KoPubWorld바탕체_Pro Light" w:eastAsia="KoPubWorld바탕체_Pro Light" w:cs="KoPubWorld바탕체_Pro Light"/>
          <w:sz w:val="16"/>
        </w:rPr>
        <w:t>가계 중심 금융으로의 이동은 감독의 대상도 바꾸었다. 지점 창구에서 이루어지던 심사와 설명이 스마트폰 화면과 데이터 모델로 옮겨가면서, 규칙은 앱의 설계와 정보 이동을 따라가야 했다. 다음 시대의 은행은 건물보다 인터페이스에 가까워진다. 편리함이 커질수록 계좌 접근권, 데이터 통제권과 알고리즘의 책임이 새로운 담보가 된다.</w:t>
      </w:r>
    </w:p>
    <w:p>
      <w:pPr>
        <w:pStyle w:val="aff2"/>
        <w:pageBreakBefore/>
        <w:spacing w:before="440"/>
        <w:jc w:val="center"/>
      </w:pPr>
      <w:r>
        <w:rPr>
          <w:rFonts w:ascii="KoPubWorld바탕체_Pro Bold" w:hAnsi="KoPubWorld바탕체_Pro Bold" w:eastAsia="KoPubWorld바탕체_Pro Bold" w:cs="KoPubWorld바탕체_Pro Bold"/>
          <w:b/>
          <w:sz w:val="24"/>
        </w:rPr>
        <w:t>Chapter. 28</w:t>
      </w:r>
    </w:p>
    <w:p>
      <w:pPr>
        <w:pStyle w:val="aff1"/>
        <w:jc w:val="center"/>
      </w:pPr>
      <w:r>
        <w:rPr>
          <w:rFonts w:ascii="KoPubWorld바탕체_Pro Bold" w:hAnsi="KoPubWorld바탕체_Pro Bold" w:eastAsia="KoPubWorld바탕체_Pro Bold" w:cs="KoPubWorld바탕체_Pro Bold"/>
          <w:b/>
          <w:sz w:val="28"/>
        </w:rPr>
        <w:t>앱 안의 은행 - 인터넷전문은행, 오픈뱅킹, 마이데이터, 규제샌드박스</w:t>
      </w:r>
    </w:p>
    <w:p>
      <w:pPr>
        <w:spacing w:before="60" w:after="0"/>
      </w:pPr>
    </w:p>
    <w:p>
      <w:pPr>
        <w:keepNext/>
        <w:jc w:val="center"/>
      </w:pPr>
      <w:r>
        <w:drawing>
          <wp:inline xmlns:a="http://schemas.openxmlformats.org/drawingml/2006/main" xmlns:pic="http://schemas.openxmlformats.org/drawingml/2006/picture">
            <wp:extent cx="3941063" cy="2627375"/>
            <wp:docPr id="15" name="Picture 15" descr="오픈뱅킹의 표준 API. 오늘의 금융규제는 법조문뿐 아니라 연결 규격과 보안심사로 작동한다." title="오픈뱅킹의 표준 API. 오늘의 금융규제는 법조문뿐 아니라 연결 규격과 보안심사로 작동한다."/>
            <wp:cNvGraphicFramePr>
              <a:graphicFrameLocks noChangeAspect="1"/>
            </wp:cNvGraphicFramePr>
            <a:graphic>
              <a:graphicData uri="http://schemas.openxmlformats.org/drawingml/2006/picture">
                <pic:pic>
                  <pic:nvPicPr>
                    <pic:cNvPr id="0" name="ch28_open_banking_gray_q86.jpg"/>
                    <pic:cNvPicPr/>
                  </pic:nvPicPr>
                  <pic:blipFill>
                    <a:blip r:embed="rId51"/>
                    <a:stretch>
                      <a:fillRect/>
                    </a:stretch>
                  </pic:blipFill>
                  <pic:spPr>
                    <a:xfrm>
                      <a:off x="0" y="0"/>
                      <a:ext cx="3941063" cy="2627375"/>
                    </a:xfrm>
                    <a:prstGeom prst="rect"/>
                  </pic:spPr>
                </pic:pic>
              </a:graphicData>
            </a:graphic>
          </wp:inline>
        </w:drawing>
      </w:r>
    </w:p>
    <w:p>
      <w:pPr>
        <w:pStyle w:val="aff6"/>
        <w:jc w:val="center"/>
      </w:pPr>
      <w:r>
        <w:rPr>
          <w:rFonts w:ascii="Noto Sans CJK KR" w:hAnsi="Noto Sans CJK KR" w:eastAsia="Noto Sans CJK KR" w:cs="Noto Sans CJK KR"/>
          <w:sz w:val="17"/>
        </w:rPr>
        <w:t>그림 28. 오픈뱅킹의 표준 API. 오늘의 금융규제는 법조문뿐 아니라 연결 규격과 보안심사로 작동한다.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2017년, 새 은행의 첫 지점은 번화가 모퉁이가 아니라 스마트폰 화면에 열렸다. 고객은 번호표를 뽑지 않고 얼굴과 신분증을 촬영했으며, 서버는 몇 분 안에 계좌를 만들었다. 케이뱅크와 카카오뱅크가 영업을 시작하면서 한국의 인터넷전문은행 시대가 열렸다.</w:t>
      </w:r>
      <w:r>
        <w:rPr>
          <w:rFonts w:ascii="KoPubWorld바탕체_Pro Light" w:hAnsi="KoPubWorld바탕체_Pro Light" w:eastAsia="KoPubWorld바탕체_Pro Light" w:cs="KoPubWorld바탕체_Pro Light"/>
          <w:sz w:val="14"/>
          <w:vertAlign w:val="superscript"/>
        </w:rPr>
        <w:t>178</w:t>
      </w:r>
      <w:r>
        <w:rPr>
          <w:rFonts w:ascii="KoPubWorld바탕체_Pro Light" w:hAnsi="KoPubWorld바탕체_Pro Light" w:eastAsia="KoPubWorld바탕체_Pro Light" w:cs="KoPubWorld바탕체_Pro Light"/>
          <w:sz w:val="16"/>
        </w:rPr>
        <w:t xml:space="preserve"> ‘앱 안의 은행’은 지점을 없앤 은행만을 뜻하지 않았다. 가입, 심사, 이체, 상담과 민원이 모두 소프트웨어의 흐름으로 바뀐 은행이었다.</w:t>
      </w:r>
    </w:p>
    <w:p>
      <w:pPr>
        <w:pStyle w:val="aff3"/>
        <w:spacing w:line="259" w:lineRule="auto"/>
      </w:pPr>
      <w:r>
        <w:rPr>
          <w:rFonts w:ascii="KoPubWorld바탕체_Pro Light" w:hAnsi="KoPubWorld바탕체_Pro Light" w:eastAsia="KoPubWorld바탕체_Pro Light" w:cs="KoPubWorld바탕체_Pro Light"/>
          <w:sz w:val="16"/>
        </w:rPr>
        <w:t>은행이 앱이 되면 규제의 물리적 표지도 사라진다. 영업점 벽에 걸린 인가증, 창구 직원의 설명, 금고와 전산실의 경계가 화면 뒤로 숨는다. 소비자는 한 번의 터치로 여러 금융회사를 오가고, 핀테크 회사는 은행 계좌를 직접 보유하지 않으면서도 금융의 입구를 장악한다. 규제는 더 이상 ‘은행인가 아닌가’만 물을 수 없다. 누가 고객을 식별하고, 누가 데이터를 보관하며, 누가 결제 명령을 내리고, 장애와 오판의 손실을 누가 부담하는지를 기능별로 따라가야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전자거래를 계약으로 인정하다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디지털 금융의 첫 토대는 인터넷은행 인가보다 앞서 놓였다. 2006년 제정되어 2007년 1월 1일 시행된 전자금융거래법은 전자적 장치를 통한 금융거래의 당사자와 전자금융업자, 오류 정정과 사고 책임, 전자지급수단의 기본 규율을 마련했다.</w:t>
      </w:r>
      <w:r>
        <w:rPr>
          <w:rFonts w:ascii="KoPubWorld바탕체_Pro Light" w:hAnsi="KoPubWorld바탕체_Pro Light" w:eastAsia="KoPubWorld바탕체_Pro Light" w:cs="KoPubWorld바탕체_Pro Light"/>
          <w:sz w:val="14"/>
          <w:vertAlign w:val="superscript"/>
        </w:rPr>
        <w:t>179</w:t>
      </w:r>
      <w:r>
        <w:rPr>
          <w:rFonts w:ascii="KoPubWorld바탕체_Pro Light" w:hAnsi="KoPubWorld바탕체_Pro Light" w:eastAsia="KoPubWorld바탕체_Pro Light" w:cs="KoPubWorld바탕체_Pro Light"/>
          <w:sz w:val="16"/>
        </w:rPr>
        <w:t xml:space="preserve"> 종이 통장과 인감이 없는 거래도 법적 효력을 갖고 분쟁을 해결할 공통 문법을 얻었다.</w:t>
      </w:r>
    </w:p>
    <w:p>
      <w:pPr>
        <w:pStyle w:val="aff3"/>
        <w:spacing w:line="259" w:lineRule="auto"/>
      </w:pPr>
      <w:r>
        <w:rPr>
          <w:rFonts w:ascii="KoPubWorld바탕체_Pro Light" w:hAnsi="KoPubWorld바탕체_Pro Light" w:eastAsia="KoPubWorld바탕체_Pro Light" w:cs="KoPubWorld바탕체_Pro Light"/>
          <w:sz w:val="16"/>
        </w:rPr>
        <w:t>전자거래에서는 ‘누가 버튼을 눌렀는가’를 입증하는 방식이 핵심이다. 비밀번호와 인증서, 휴대전화와 생체정보는 의사표시의 증거이자 공격 대상이다. 금융회사가 모든 책임을 고객의 비밀번호 관리 탓으로 돌리면 보안 투자 유인이 줄어든다. 반대로 모든 사기를 금융회사가 무조건 보상하면 고객과 통신·플랫폼 사업자의 주의 유인이 약해질 수 있다. 접근매체 관리, 이상거래 탐지, 사고 통지와 손해배상 규칙은 이 책임을 나누는 장치다.</w:t>
      </w:r>
    </w:p>
    <w:p>
      <w:pPr>
        <w:pStyle w:val="aff3"/>
        <w:spacing w:line="259" w:lineRule="auto"/>
      </w:pPr>
      <w:r>
        <w:rPr>
          <w:rFonts w:ascii="KoPubWorld바탕체_Pro Light" w:hAnsi="KoPubWorld바탕체_Pro Light" w:eastAsia="KoPubWorld바탕체_Pro Light" w:cs="KoPubWorld바탕체_Pro Light"/>
          <w:sz w:val="16"/>
        </w:rPr>
        <w:t>디지털 거래의 속도는 오류의 속도도 높인다. 창구에서는 직원이 이상한 계좌번호를 한 번 더 물을 수 있지만 자동화된 이체는 즉시 끝난다. 시스템 설계는 확인 화면, 취소 가능 시간, 착오송금 반환과 기록 보존을 통해 인간의 실수를 흡수해야 한다. 규제가 소프트웨어의 버튼 순서까지 관심을 갖게 된 이유다.</w:t>
      </w:r>
    </w:p>
    <w:p>
      <w:pPr>
        <w:pStyle w:val="aff3"/>
        <w:spacing w:line="259" w:lineRule="auto"/>
      </w:pPr>
      <w:r>
        <w:rPr>
          <w:rFonts w:ascii="KoPubWorld바탕체_Pro Light" w:hAnsi="KoPubWorld바탕체_Pro Light" w:eastAsia="KoPubWorld바탕체_Pro Light" w:cs="KoPubWorld바탕체_Pro Light"/>
          <w:sz w:val="16"/>
        </w:rPr>
        <w:t>전자금융거래법은 핀테크 사업자의 진입 틀도 만들었다. 은행이 아니어도 선불전자지급수단과 결제대행 같은 기능을 제공할 수 있게 하되 등록과 안전성 의무를 부과했다. 금융 기능을 은행 면허에서 분리한 것은 경쟁을 넓혔지만, 고객 자금의 보관과 도산 격리, 수수료 공시라는 새 문제를 낳았다. 같은 결제라도 예금인지 선불충전금인지에 따라 보호 장치가 다르므로 화면에서 그 차이가 보이게 해야 했다.</w:t>
      </w:r>
      <w:r>
        <w:rPr>
          <w:rFonts w:ascii="KoPubWorld바탕체_Pro Light" w:hAnsi="KoPubWorld바탕체_Pro Light" w:eastAsia="KoPubWorld바탕체_Pro Light" w:cs="KoPubWorld바탕체_Pro Light"/>
          <w:sz w:val="14"/>
          <w:vertAlign w:val="superscript"/>
        </w:rPr>
        <w:t>179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은행 면허와 산업자본의 경계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인터넷전문은행은 2015년 예비인가 절차를 거쳐 케이뱅크와 카카오뱅크가 선정되었고, 두 은행은 2017년 영업을 시작했다.</w:t>
      </w:r>
      <w:r>
        <w:rPr>
          <w:rFonts w:ascii="KoPubWorld바탕체_Pro Light" w:hAnsi="KoPubWorld바탕체_Pro Light" w:eastAsia="KoPubWorld바탕체_Pro Light" w:cs="KoPubWorld바탕체_Pro Light"/>
          <w:sz w:val="14"/>
          <w:vertAlign w:val="superscript"/>
        </w:rPr>
        <w:t>180</w:t>
      </w:r>
      <w:r>
        <w:rPr>
          <w:rFonts w:ascii="KoPubWorld바탕체_Pro Light" w:hAnsi="KoPubWorld바탕체_Pro Light" w:eastAsia="KoPubWorld바탕체_Pro Light" w:cs="KoPubWorld바탕체_Pro Light"/>
          <w:sz w:val="14"/>
          <w:vertAlign w:val="superscript"/>
        </w:rPr>
        <w:t>178</w:t>
      </w:r>
      <w:r>
        <w:rPr>
          <w:rFonts w:ascii="KoPubWorld바탕체_Pro Light" w:hAnsi="KoPubWorld바탕체_Pro Light" w:eastAsia="KoPubWorld바탕체_Pro Light" w:cs="KoPubWorld바탕체_Pro Light"/>
          <w:sz w:val="16"/>
        </w:rPr>
        <w:t xml:space="preserve"> 지점 비용을 줄이고 데이터 기반 중금리대출을 확대하며 기존 은행의 경쟁을 자극한다는 기대가 컸다.</w:t>
      </w:r>
    </w:p>
    <w:p>
      <w:pPr>
        <w:pStyle w:val="aff3"/>
        <w:spacing w:line="259" w:lineRule="auto"/>
      </w:pPr>
      <w:r>
        <w:rPr>
          <w:rFonts w:ascii="KoPubWorld바탕체_Pro Light" w:hAnsi="KoPubWorld바탕체_Pro Light" w:eastAsia="KoPubWorld바탕체_Pro Light" w:cs="KoPubWorld바탕체_Pro Light"/>
          <w:sz w:val="16"/>
        </w:rPr>
        <w:t>그러나 인터넷은행을 만들려면 기술 기업의 자본과 플랫폼 역량이 필요했다. 한국 은행법의 전통적 은산분리 원칙은 산업자본이 은행을 지배해 예금자의 돈을 계열사에 공급하는 것을 막는다. 플랫폼 기업의 참여를 얼마나 허용할지가 혁신과 이해상충의 경계가 되었다.</w:t>
      </w:r>
    </w:p>
    <w:p>
      <w:pPr>
        <w:pStyle w:val="aff3"/>
        <w:spacing w:line="259" w:lineRule="auto"/>
      </w:pPr>
      <w:r>
        <w:rPr>
          <w:rFonts w:ascii="KoPubWorld바탕체_Pro Light" w:hAnsi="KoPubWorld바탕체_Pro Light" w:eastAsia="KoPubWorld바탕체_Pro Light" w:cs="KoPubWorld바탕체_Pro Light"/>
          <w:sz w:val="16"/>
        </w:rPr>
        <w:t>2018년 제정되어 2019년 1월 17일 시행된 인터넷전문은행 특례법은 일정 요건을 충족한 비금융주력자가 인터넷은행 의결권 주식의 최대 34퍼센트까지 보유할 수 있게 했다.</w:t>
      </w:r>
      <w:r>
        <w:rPr>
          <w:rFonts w:ascii="KoPubWorld바탕체_Pro Light" w:hAnsi="KoPubWorld바탕체_Pro Light" w:eastAsia="KoPubWorld바탕체_Pro Light" w:cs="KoPubWorld바탕체_Pro Light"/>
          <w:sz w:val="14"/>
          <w:vertAlign w:val="superscript"/>
        </w:rPr>
        <w:t>181</w:t>
      </w:r>
      <w:r>
        <w:rPr>
          <w:rFonts w:ascii="KoPubWorld바탕체_Pro Light" w:hAnsi="KoPubWorld바탕체_Pro Light" w:eastAsia="KoPubWorld바탕체_Pro Light" w:cs="KoPubWorld바탕체_Pro Light"/>
          <w:sz w:val="16"/>
        </w:rPr>
        <w:t xml:space="preserve"> 일반 은행보다 문을 넓히되 대주주 적격성, 계열사 신용공여와 지배력 남용을 통제하는 별도 장치를 둔 타협이었다.</w:t>
      </w:r>
    </w:p>
    <w:p>
      <w:pPr>
        <w:pStyle w:val="aff3"/>
        <w:spacing w:line="259" w:lineRule="auto"/>
      </w:pPr>
      <w:r>
        <w:rPr>
          <w:rFonts w:ascii="KoPubWorld바탕체_Pro Light" w:hAnsi="KoPubWorld바탕체_Pro Light" w:eastAsia="KoPubWorld바탕체_Pro Light" w:cs="KoPubWorld바탕체_Pro Light"/>
          <w:sz w:val="16"/>
        </w:rPr>
        <w:t>이 선택은 ‘기술회사는 은행을 더 잘 운영하는가’라는 질문보다 넓다. 플랫폼은 고객 행동과 상거래 데이터를 가지고 있어 신용평가와 맞춤 서비스에 강하다. 동시에 자신의 플랫폼 입점업체와 경쟁자를 차별하거나, 금융 데이터를 광고·상거래 지배력과 결합할 수 있다. 은행의 대주주 규제는 자본의 출처만이 아니라 데이터와 생태계의 이해상충을 보게 되었다.</w:t>
      </w:r>
    </w:p>
    <w:p>
      <w:pPr>
        <w:pStyle w:val="aff3"/>
        <w:spacing w:line="259" w:lineRule="auto"/>
      </w:pPr>
      <w:r>
        <w:rPr>
          <w:rFonts w:ascii="KoPubWorld바탕체_Pro Light" w:hAnsi="KoPubWorld바탕체_Pro Light" w:eastAsia="KoPubWorld바탕체_Pro Light" w:cs="KoPubWorld바탕체_Pro Light"/>
          <w:sz w:val="16"/>
        </w:rPr>
        <w:t>인터넷은행의 성과도 가입자 수만으로 평가할 수 없다. 낮은 비용이 금리와 수수료 인하로 이어졌는지, 중·저신용자에게 지속 가능한 신용을 공급했는지, 위기 때 예금 유출 속도와 전산 집중을 감당할 수 있는지를 봐야 한다. 앱은 고객을 빠르게 모으는 동시에 한 번의 소문으로 자금이 빠르게 나가는 문이기도 하다.</w:t>
      </w:r>
    </w:p>
    <w:p>
      <w:pPr>
        <w:pStyle w:val="aff3"/>
        <w:spacing w:line="259" w:lineRule="auto"/>
      </w:pPr>
      <w:r>
        <w:rPr>
          <w:rFonts w:ascii="KoPubWorld바탕체_Pro Light" w:hAnsi="KoPubWorld바탕체_Pro Light" w:eastAsia="KoPubWorld바탕체_Pro Light" w:cs="KoPubWorld바탕체_Pro Light"/>
          <w:sz w:val="16"/>
        </w:rPr>
        <w:t>디지털 뱅크런에서는 영업시간과 줄의 길이가 완충이 되지 않는다. 고객은 같은 메시지를 보고 몇 번의 터치로 예금을 옮길 수 있다. 유동성 계획은 과거 지점 인출률보다 빠른 스트레스와 소셜미디어의 전염을 가정해야 한다. 예금보호 여부와 지급 절차를 앱 안에서 분명히 보이는 것도 불안을 줄이는 설계다.</w:t>
      </w:r>
    </w:p>
    <w:p>
      <w:pPr>
        <w:pStyle w:val="aff3"/>
        <w:spacing w:line="259" w:lineRule="auto"/>
      </w:pPr>
      <w:r>
        <w:rPr>
          <w:rFonts w:ascii="KoPubWorld바탕체_Pro Light" w:hAnsi="KoPubWorld바탕체_Pro Light" w:eastAsia="KoPubWorld바탕체_Pro Light" w:cs="KoPubWorld바탕체_Pro Light"/>
          <w:sz w:val="16"/>
        </w:rPr>
        <w:t>비대면 본인확인은 접근성을 높이지만 신분 도용과 합성영상에 노출된다. 한 가지 생체 신호에 의존하지 않고 기기·거래 맥락과 사후 알림을 결합해야 한다. 인증 실패자가 사람에게 이의를 제기하고 계정을 회복할 경로를 남기지 않으면 보안이 정당한 고객의 배제로 바뀐다.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허가 전에 시험하는 샌드박스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새 서비스는 기존 법의 업종과 행위 목록에 맞지 않는 경우가 많다. 법을 모두 고칠 때까지 기다리면 혁신은 멈추고, 예외 없이 허용하면 소비자가 실험 대상이 된다. 2018년 제정된 금융혁신지원 특별법은 2019년 4월 1일부터 혁신금융서비스 지정, 규제 특례와 시험 운영의 틀을 마련했다.</w:t>
      </w:r>
      <w:r>
        <w:rPr>
          <w:rFonts w:ascii="KoPubWorld바탕체_Pro Light" w:hAnsi="KoPubWorld바탕체_Pro Light" w:eastAsia="KoPubWorld바탕체_Pro Light" w:cs="KoPubWorld바탕체_Pro Light"/>
          <w:sz w:val="14"/>
          <w:vertAlign w:val="superscript"/>
        </w:rPr>
        <w:t>182</w:t>
      </w:r>
    </w:p>
    <w:p>
      <w:pPr>
        <w:pStyle w:val="aff3"/>
        <w:spacing w:line="259" w:lineRule="auto"/>
      </w:pPr>
      <w:r>
        <w:rPr>
          <w:rFonts w:ascii="KoPubWorld바탕체_Pro Light" w:hAnsi="KoPubWorld바탕체_Pro Light" w:eastAsia="KoPubWorld바탕체_Pro Light" w:cs="KoPubWorld바탕체_Pro Light"/>
          <w:sz w:val="16"/>
        </w:rPr>
        <w:t>규제샌드박스는 ‘규제가 없는 모래밭’이 아니다. 제한된 기간과 이용자 수, 부가조건, 손해배상과 종료 계획을 붙여 불확실성을 관리하는 실험실이다. 감독당국은 실제 거래에서 편익과 위험을 관찰하고, 사업자는 법적 불확실성을 줄인 채 서비스를 검증한다. 성공한 실험은 제도 개선의 증거가 되고, 실패한 실험은 손실을 제한한 학습이 된다.</w:t>
      </w:r>
      <w:r>
        <w:rPr>
          <w:rFonts w:ascii="KoPubWorld바탕체_Pro Light" w:hAnsi="KoPubWorld바탕체_Pro Light" w:eastAsia="KoPubWorld바탕체_Pro Light" w:cs="KoPubWorld바탕체_Pro Light"/>
          <w:sz w:val="14"/>
          <w:vertAlign w:val="superscript"/>
        </w:rPr>
        <w:t>182</w:t>
      </w:r>
    </w:p>
    <w:p>
      <w:pPr>
        <w:pStyle w:val="aff3"/>
        <w:spacing w:line="259" w:lineRule="auto"/>
      </w:pPr>
      <w:r>
        <w:rPr>
          <w:rFonts w:ascii="KoPubWorld바탕체_Pro Light" w:hAnsi="KoPubWorld바탕체_Pro Light" w:eastAsia="KoPubWorld바탕체_Pro Light" w:cs="KoPubWorld바탕체_Pro Light"/>
          <w:sz w:val="16"/>
        </w:rPr>
        <w:t>샌드박스에는 공정성 문제가 있다. 어떤 기업은 특례를 받고 경쟁자는 같은 규제를 지켜야 한다면 선점 효과가 크다. 선정 기준과 심사 기간, 부가조건을 공개하고 유사 서비스에 일관되게 적용해야 한다. 특례가 반복 연장되어 사실상의 영구 면허가 되거나, 사고가 난 뒤 책임 주체가 불분명해져서도 안 된다.</w:t>
      </w:r>
    </w:p>
    <w:p>
      <w:pPr>
        <w:pStyle w:val="aff3"/>
        <w:spacing w:line="259" w:lineRule="auto"/>
      </w:pPr>
      <w:r>
        <w:rPr>
          <w:rFonts w:ascii="KoPubWorld바탕체_Pro Light" w:hAnsi="KoPubWorld바탕체_Pro Light" w:eastAsia="KoPubWorld바탕체_Pro Light" w:cs="KoPubWorld바탕체_Pro Light"/>
          <w:sz w:val="16"/>
        </w:rPr>
        <w:t>가장 중요한 것은 출구다. 실험이 성공하면 법령을 고쳐 모든 적격 사업자가 이용할 수 있게 하고, 실패하면 고객 자금과 데이터를 안전하게 반환해야 한다. 샌드박스가 규제 회피의 사적 통로가 아니라 규칙을 개선하는 공적 학습 장치가 되려면 성공과 실패의 결과를 축적·공개해야 한다.</w:t>
      </w:r>
    </w:p>
    <w:p>
      <w:pPr>
        <w:pStyle w:val="aff3"/>
        <w:spacing w:line="259" w:lineRule="auto"/>
      </w:pPr>
      <w:r>
        <w:rPr>
          <w:rFonts w:ascii="KoPubWorld바탕체_Pro Light" w:hAnsi="KoPubWorld바탕체_Pro Light" w:eastAsia="KoPubWorld바탕체_Pro Light" w:cs="KoPubWorld바탕체_Pro Light"/>
          <w:sz w:val="16"/>
        </w:rPr>
        <w:t>실험의 증거는 이용자 수와 거래액만이 아니다. 사고·민원, 특정 집단의 배제, 기존 사업자와의 비용 차이와 종료 때 데이터 이동까지 측정해야 한다. 혁신성은 편익의 한 축이고, 규제특례가 만든 위험과 경쟁 효과가 다른 축이다. 처음부터 평가 항목을 정해야 좋은 결과만 골라 발표하는 일을 줄일 수 있다.</w:t>
      </w:r>
    </w:p>
    <w:p>
      <w:pPr>
        <w:pStyle w:val="aff3"/>
        <w:spacing w:line="259" w:lineRule="auto"/>
      </w:pPr>
      <w:r>
        <w:rPr>
          <w:rFonts w:ascii="KoPubWorld바탕체_Pro Light" w:hAnsi="KoPubWorld바탕체_Pro Light" w:eastAsia="KoPubWorld바탕체_Pro Light" w:cs="KoPubWorld바탕체_Pro Light"/>
          <w:sz w:val="16"/>
        </w:rPr>
        <w:t>실험 참여자의 동의도 일반 약관보다 분명해야 한다. 어떤 보호가 일시적으로 달라지는지, 사고 때 보상과 서비스 종료는 어떻게 되는지 알려야 한다. 규제자가 허용한 실험이라는 이유로 참여자가 예상하지 못한 위험을 떠안아서는 안 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계좌의 문을 연 오픈뱅킹</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오픈뱅킹은 한 앱에서 여러 은행 계좌를 조회하고 이체할 수 있게 하는 공동 인프라다. 2019년 10월 30일 은행 중심의 시범운영을 시작했고, 같은 해 12월 18일 은행 16곳과 핀테크 기업 31곳 등 47개 기관이 참여한 전면 시행으로 확대됐다.</w:t>
      </w:r>
      <w:r>
        <w:rPr>
          <w:rFonts w:ascii="KoPubWorld바탕체_Pro Light" w:hAnsi="KoPubWorld바탕체_Pro Light" w:eastAsia="KoPubWorld바탕체_Pro Light" w:cs="KoPubWorld바탕체_Pro Light"/>
          <w:sz w:val="14"/>
          <w:vertAlign w:val="superscript"/>
        </w:rPr>
        <w:t>183</w:t>
      </w:r>
      <w:r>
        <w:rPr>
          <w:rFonts w:ascii="KoPubWorld바탕체_Pro Light" w:hAnsi="KoPubWorld바탕체_Pro Light" w:eastAsia="KoPubWorld바탕체_Pro Light" w:cs="KoPubWorld바탕체_Pro Light"/>
          <w:sz w:val="14"/>
          <w:vertAlign w:val="superscript"/>
        </w:rPr>
        <w:t>184</w:t>
      </w:r>
      <w:r>
        <w:rPr>
          <w:rFonts w:ascii="KoPubWorld바탕체_Pro Light" w:hAnsi="KoPubWorld바탕체_Pro Light" w:eastAsia="KoPubWorld바탕체_Pro Light" w:cs="KoPubWorld바탕체_Pro Light"/>
          <w:sz w:val="16"/>
        </w:rPr>
        <w:t xml:space="preserve"> 금융결제망의 접속을 개별 은행의 독점적 채널에서 표준화된 연결망으로 바꾼 사건이었다.</w:t>
      </w:r>
    </w:p>
    <w:p>
      <w:pPr>
        <w:pStyle w:val="aff3"/>
        <w:spacing w:line="259" w:lineRule="auto"/>
      </w:pPr>
      <w:r>
        <w:rPr>
          <w:rFonts w:ascii="KoPubWorld바탕체_Pro Light" w:hAnsi="KoPubWorld바탕체_Pro Light" w:eastAsia="KoPubWorld바탕체_Pro Light" w:cs="KoPubWorld바탕체_Pro Light"/>
          <w:sz w:val="16"/>
        </w:rPr>
        <w:t>공통 연결은 경쟁의 단위를 바꾼다. 고객은 주거래은행 앱에 머물 필요가 없고, 핀테크는 모든 은행과 각각 계약·개발하지 않아도 서비스를 만들 수 있다. 계좌라는 기반시설 위에서 예산관리, 간편송금과 비교 서비스가 경쟁한다. 은행은 고객 접점의 독점을 잃지만 더 넓은 생태계에서 상품을 공급할 기회를 얻는다.</w:t>
      </w:r>
    </w:p>
    <w:p>
      <w:pPr>
        <w:pStyle w:val="aff3"/>
        <w:spacing w:line="259" w:lineRule="auto"/>
      </w:pPr>
      <w:r>
        <w:rPr>
          <w:rFonts w:ascii="KoPubWorld바탕체_Pro Light" w:hAnsi="KoPubWorld바탕체_Pro Light" w:eastAsia="KoPubWorld바탕체_Pro Light" w:cs="KoPubWorld바탕체_Pro Light"/>
          <w:sz w:val="16"/>
        </w:rPr>
        <w:t>동시에 한 연결점의 취약점이 여러 은행으로 번질 수 있다. 인증 토큰이 탈취되거나 핀테크 앱이 침해되면 공격자는 여러 계좌에 접근한다. API 호출 권한, 이체 한도, 이상거래 탐지와 사고 시 책임을 공동으로 설계해야 한다. 개방성은 보안을 낮추는 말이 아니라 신뢰 경계를 다시 그리는 말이다.</w:t>
      </w:r>
    </w:p>
    <w:p>
      <w:pPr>
        <w:pStyle w:val="aff3"/>
        <w:spacing w:line="259" w:lineRule="auto"/>
      </w:pPr>
      <w:r>
        <w:rPr>
          <w:rFonts w:ascii="KoPubWorld바탕체_Pro Light" w:hAnsi="KoPubWorld바탕체_Pro Light" w:eastAsia="KoPubWorld바탕체_Pro Light" w:cs="KoPubWorld바탕체_Pro Light"/>
          <w:sz w:val="16"/>
        </w:rPr>
        <w:t>권한 동의는 한 번의 포괄 버튼이 아니라 범위와 기간으로 쪼개야 한다. 잔액 조회와 출금 명령은 위험이 다르고, 한 달의 자산분석과 무기한 접근도 다르다. 이용자는 어느 앱이 어떤 계좌 권한을 갖는지 한곳에서 보고 즉시 철회할 수 있어야 한다. 토큰을 폐기하는 기술 조치와 화면의 동의 철회가 동시에 작동해야 한다.</w:t>
      </w:r>
    </w:p>
    <w:p>
      <w:pPr>
        <w:pStyle w:val="aff3"/>
        <w:spacing w:line="259" w:lineRule="auto"/>
      </w:pPr>
      <w:r>
        <w:rPr>
          <w:rFonts w:ascii="KoPubWorld바탕체_Pro Light" w:hAnsi="KoPubWorld바탕체_Pro Light" w:eastAsia="KoPubWorld바탕체_Pro Light" w:cs="KoPubWorld바탕체_Pro Light"/>
          <w:sz w:val="16"/>
        </w:rPr>
        <w:t>사고 책임은 고객 접점과 원인을 나누어 설계할 수 있다. 이용자는 먼저 상대하는 앱에서 신속히 구제받고, 은행과 핀테크는 뒤에서 로그를 대사해 최종 비용을 분담하는 방식이다. 각 사업자가 책임 공방을 마칠 때까지 고객을 기다리게 하면 개방 생태계 전체의 신뢰가 무너진다.</w:t>
      </w:r>
    </w:p>
    <w:p>
      <w:pPr>
        <w:pStyle w:val="aff3"/>
        <w:spacing w:line="259" w:lineRule="auto"/>
      </w:pPr>
      <w:r>
        <w:rPr>
          <w:rFonts w:ascii="KoPubWorld바탕체_Pro Light" w:hAnsi="KoPubWorld바탕체_Pro Light" w:eastAsia="KoPubWorld바탕체_Pro Light" w:cs="KoPubWorld바탕체_Pro Light"/>
          <w:sz w:val="16"/>
        </w:rPr>
        <w:t>오픈뱅킹의 공정한 가격도 규제 대상이다. 접속 수수료가 너무 높으면 작은 사업자가 들어오지 못하고, 지나치게 낮아 비용을 기존 은행이 떠안으면 인프라 투자 유인이 약해진다. 표준을 누가 정하고 장애 정보를 어떻게 공유하며, 특정 플랫폼이 이용자 흐름을 다시 독점하지 않도록 할지가 중요하다. 문을 여는 것과 운동장을 평평하게 만드는 것은 다른 일이다.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데이터의 주도권, 마이데이터</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2020년 개정 신용정보법을 중심으로 한 이른바 데이터 3법 체계는 가명정보 활용의 근거를 넓히고 본인신용정보관리업, 즉 마이데이터를 제도화했다. 주요 개정은 2020년 8월 5일부터 시행되었다.</w:t>
      </w:r>
      <w:r>
        <w:rPr>
          <w:rFonts w:ascii="KoPubWorld바탕체_Pro Light" w:hAnsi="KoPubWorld바탕체_Pro Light" w:eastAsia="KoPubWorld바탕체_Pro Light" w:cs="KoPubWorld바탕체_Pro Light"/>
          <w:sz w:val="14"/>
          <w:vertAlign w:val="superscript"/>
        </w:rPr>
        <w:t>185</w:t>
      </w:r>
      <w:r>
        <w:rPr>
          <w:rFonts w:ascii="KoPubWorld바탕체_Pro Light" w:hAnsi="KoPubWorld바탕체_Pro Light" w:eastAsia="KoPubWorld바탕체_Pro Light" w:cs="KoPubWorld바탕체_Pro Light"/>
          <w:sz w:val="16"/>
        </w:rPr>
        <w:t xml:space="preserve"> 정보주체의 요청에 따라 여러 금융회사에 흩어진 개인신용정보를 한곳에 모아 조회·분석할 수 있는 사업이 허가제로 들어왔다.</w:t>
      </w:r>
    </w:p>
    <w:p>
      <w:pPr>
        <w:pStyle w:val="aff3"/>
        <w:spacing w:line="259" w:lineRule="auto"/>
      </w:pPr>
      <w:r>
        <w:rPr>
          <w:rFonts w:ascii="KoPubWorld바탕체_Pro Light" w:hAnsi="KoPubWorld바탕체_Pro Light" w:eastAsia="KoPubWorld바탕체_Pro Light" w:cs="KoPubWorld바탕체_Pro Light"/>
          <w:sz w:val="16"/>
        </w:rPr>
        <w:t>마이데이터의 약속은 ‘내 데이터의 주인은 나’라는 문장에 있다. 고객이 자신의 정보를 다른 서비스로 옮길 수 있으면 기존 금융회사의 데이터 잠금 효과가 줄고, 더 정확한 자산관리와 신용평가가 가능해진다. 과거에는 한 은행이 자기 계좌만 보았다면 고객은 전체 부채와 자산을 한 화면에서 볼 수 있다.</w:t>
      </w:r>
    </w:p>
    <w:p>
      <w:pPr>
        <w:pStyle w:val="aff3"/>
        <w:spacing w:line="259" w:lineRule="auto"/>
      </w:pPr>
      <w:r>
        <w:rPr>
          <w:rFonts w:ascii="KoPubWorld바탕체_Pro Light" w:hAnsi="KoPubWorld바탕체_Pro Light" w:eastAsia="KoPubWorld바탕체_Pro Light" w:cs="KoPubWorld바탕체_Pro Light"/>
          <w:sz w:val="16"/>
        </w:rPr>
        <w:t>그러나 이동권이 곧 통제권은 아니다. 이용자가 길고 복잡한 동의 화면에서 ‘전체 선택’을 누르면 데이터는 또 다른 대형 플랫폼에 집중된다. 목적별 최소 수집, 전송 중 암호화, 제3자 제공과 삭제, 동의 철회의 효과가 실제로 작동해야 한다. 개인에게 형식적 동의의 부담을 모두 지우지 말고 사업자가 필요한 이유와 보유 기간을 증명하게 해야 한다.</w:t>
      </w:r>
    </w:p>
    <w:p>
      <w:pPr>
        <w:pStyle w:val="aff3"/>
        <w:spacing w:line="259" w:lineRule="auto"/>
      </w:pPr>
      <w:r>
        <w:rPr>
          <w:rFonts w:ascii="KoPubWorld바탕체_Pro Light" w:hAnsi="KoPubWorld바탕체_Pro Light" w:eastAsia="KoPubWorld바탕체_Pro Light" w:cs="KoPubWorld바탕체_Pro Light"/>
          <w:sz w:val="16"/>
        </w:rPr>
        <w:t>자동화된 신용평가도 데이터의 양만으로 공정해지지 않는다. 신용정보법은 개인이 자동화된 평가 결과와 주요 기준에 관한 설명을 요구하고 정보가 정확하지 않을 때 정정과 재산정을 요구할 수 있는 틀을 두었다.</w:t>
      </w:r>
      <w:r>
        <w:rPr>
          <w:rFonts w:ascii="KoPubWorld바탕체_Pro Light" w:hAnsi="KoPubWorld바탕체_Pro Light" w:eastAsia="KoPubWorld바탕체_Pro Light" w:cs="KoPubWorld바탕체_Pro Light"/>
          <w:sz w:val="14"/>
          <w:vertAlign w:val="superscript"/>
        </w:rPr>
        <w:t>186</w:t>
      </w:r>
      <w:r>
        <w:rPr>
          <w:rFonts w:ascii="KoPubWorld바탕체_Pro Light" w:hAnsi="KoPubWorld바탕체_Pro Light" w:eastAsia="KoPubWorld바탕체_Pro Light" w:cs="KoPubWorld바탕체_Pro Light"/>
          <w:sz w:val="16"/>
        </w:rPr>
        <w:t xml:space="preserve"> 설명은 영업비밀인 모델 전체를 공개하는 것이 아니라, 어떤 정보가 불리하게 작용했고 무엇을 바로잡을 수 있는지 행동 가능한 이유를 주는 일이어야 한다.</w:t>
      </w:r>
    </w:p>
    <w:p>
      <w:pPr>
        <w:pStyle w:val="aff3"/>
        <w:spacing w:line="259" w:lineRule="auto"/>
      </w:pPr>
      <w:r>
        <w:rPr>
          <w:rFonts w:ascii="KoPubWorld바탕체_Pro Light" w:hAnsi="KoPubWorld바탕체_Pro Light" w:eastAsia="KoPubWorld바탕체_Pro Light" w:cs="KoPubWorld바탕체_Pro Light"/>
          <w:sz w:val="16"/>
        </w:rPr>
        <w:t>데이터 이동은 복사본을 늘린다. 한 금융회사에 있던 정보가 여러 마이데이터 사업자와 분석업체로 퍼지면 공격 표면과 오용 가능성도 커진다. 전송 이력, 재위탁과 삭제 증거를 이용자가 확인할 수 있게 하고, 사업이 종료될 때 데이터가 남지 않도록 해야 한다. 이동권과 잊힐 권리를 함께 구현해야 한다.</w:t>
      </w:r>
    </w:p>
    <w:p>
      <w:pPr>
        <w:pStyle w:val="aff3"/>
        <w:spacing w:line="259" w:lineRule="auto"/>
      </w:pPr>
      <w:r>
        <w:rPr>
          <w:rFonts w:ascii="KoPubWorld바탕체_Pro Light" w:hAnsi="KoPubWorld바탕체_Pro Light" w:eastAsia="KoPubWorld바탕체_Pro Light" w:cs="KoPubWorld바탕체_Pro Light"/>
          <w:sz w:val="16"/>
        </w:rPr>
        <w:t>개인화 추천은 이해상충을 만들 수 있다. 고객에게 가장 알맞은 상품과 플랫폼에 가장 많은 보수를 주는 상품이 다를 때 알고리즘의 목표를 공개해야 한다. 추천 순위의 기준, 광고 여부와 수수료 구조를 분리하지 않으면 데이터 기반 맞춤은 정교한 판매압력으로 변한다.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편리한 입구 뒤의 공공성</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앱 안의 은행은 경쟁을 넓혔다. 지점이 없는 은행, 계좌를 한데 모으는 핀테크, 데이터를 이동시키는 마이데이터 사업자가 기존 은행의 경계를 흔들었다. 규제도 전자거래법, 특례법, 샌드박스와 표준 API를 통해 기술을 금지하기보다 안전하게 접속시키는 방향으로 움직였다.</w:t>
      </w:r>
    </w:p>
    <w:p>
      <w:pPr>
        <w:pStyle w:val="aff3"/>
        <w:spacing w:line="259" w:lineRule="auto"/>
      </w:pPr>
      <w:r>
        <w:rPr>
          <w:rFonts w:ascii="KoPubWorld바탕체_Pro Light" w:hAnsi="KoPubWorld바탕체_Pro Light" w:eastAsia="KoPubWorld바탕체_Pro Light" w:cs="KoPubWorld바탕체_Pro Light"/>
          <w:sz w:val="16"/>
        </w:rPr>
        <w:t>그러나 고객이 보는 앱과 실제 책임의 사슬은 다르다. 한 번의 이체 뒤에는 은행, 핀테크, 본인확인기관, 통신사, 클라우드와 결제망이 연결된다. 화면을 만든 회사가 고객 관계를 쥐지만 자금은 다른 은행에 있고 데이터는 여러 처리자에게 복제될 수 있다. 사고가 나면 각 회사가 ‘우리 구간은 정상’이라고 말하는 분절 책임이 생긴다.</w:t>
      </w:r>
    </w:p>
    <w:p>
      <w:pPr>
        <w:pStyle w:val="aff3"/>
        <w:spacing w:line="259" w:lineRule="auto"/>
      </w:pPr>
      <w:r>
        <w:rPr>
          <w:rFonts w:ascii="KoPubWorld바탕체_Pro Light" w:hAnsi="KoPubWorld바탕체_Pro Light" w:eastAsia="KoPubWorld바탕체_Pro Light" w:cs="KoPubWorld바탕체_Pro Light"/>
          <w:sz w:val="16"/>
        </w:rPr>
        <w:t>그래서 디지털 금융의 공공성은 은행 면허에만 머물지 않는다. 계좌 접근 API의 연속성, 데이터 이동의 정확성, 인증의 포용성과 장애 복구는 도로와 전기처럼 일상의 기반이 된다. 고령자와 장애인, 스마트폰이 없거나 디지털 흔적이 적은 사람에게 대체 채널을 남기는 일도 경쟁정책이자 소비자보호다.</w:t>
      </w:r>
    </w:p>
    <w:p>
      <w:pPr>
        <w:pStyle w:val="aff3"/>
        <w:spacing w:line="259" w:lineRule="auto"/>
      </w:pPr>
      <w:r>
        <w:rPr>
          <w:rFonts w:ascii="KoPubWorld바탕체_Pro Light" w:hAnsi="KoPubWorld바탕체_Pro Light" w:eastAsia="KoPubWorld바탕체_Pro Light" w:cs="KoPubWorld바탕체_Pro Light"/>
          <w:sz w:val="16"/>
        </w:rPr>
        <w:t>대체 채널은 낡은 서비스의 잔여물이 아니다. 앱 장애와 휴대전화 분실, 재난 때 모두가 의존할 복원 수단이다. 전화·창구와 접근성 기술을 유지하는 비용은 디지털 전환의 비효율이 아니라 시스템 보험의 일부로 보아야 한다.</w:t>
      </w:r>
    </w:p>
    <w:p>
      <w:pPr>
        <w:pStyle w:val="aff3"/>
        <w:spacing w:line="259" w:lineRule="auto"/>
      </w:pPr>
      <w:r>
        <w:rPr>
          <w:rFonts w:ascii="KoPubWorld바탕체_Pro Light" w:hAnsi="KoPubWorld바탕체_Pro Light" w:eastAsia="KoPubWorld바탕체_Pro Light" w:cs="KoPubWorld바탕체_Pro Light"/>
          <w:sz w:val="16"/>
        </w:rPr>
        <w:t>한국의 디지털 금융은 기존 제도를 한 번에 폐기하기보다 특례와 공동 인프라로 경계를 옮겼다. 그 유연성은 빠른 혁신을 가능하게 했지만 임시 특례가 누적되면 규칙의 전체 구조를 이해하기 어려워진다. 같은 기능에 같은 책임을 적용하되 기술의 차이가 만든 새 위험을 별도로 보는 정리가 필요하다.</w:t>
      </w:r>
    </w:p>
    <w:p>
      <w:pPr>
        <w:pStyle w:val="aff3"/>
        <w:spacing w:line="259" w:lineRule="auto"/>
      </w:pPr>
      <w:r>
        <w:rPr>
          <w:rFonts w:ascii="KoPubWorld바탕체_Pro Light" w:hAnsi="KoPubWorld바탕체_Pro Light" w:eastAsia="KoPubWorld바탕체_Pro Light" w:cs="KoPubWorld바탕체_Pro Light"/>
          <w:sz w:val="16"/>
        </w:rPr>
        <w:t>앱은 은행의 마지막 형태가 아니다. 다음 경계에서는 계좌 대신 토큰이 가치를 옮기고, 발행자와 거래소가 국경 없이 연결된다. 은행법과 자본시장법 어느 쪽에도 온전히 들어맞지 않는 ‘코인’이 등장하면서 규제는 다시 가장 오래된 질문으로 돌아간다. 이것은 돈인가, 투자계약인가, 아니면 전혀 다른 기록인가.</w:t>
      </w:r>
    </w:p>
    <w:p>
      <w:r>
        <w:br w:type="page"/>
      </w:r>
    </w:p>
    <w:p>
      <w:pPr>
        <w:spacing w:before="1720" w:after="0"/>
      </w:pPr>
    </w:p>
    <w:p>
      <w:pPr>
        <w:pStyle w:val="aff9"/>
        <w:jc w:val="center"/>
      </w:pPr>
      <w:r>
        <w:rPr>
          <w:rFonts w:ascii="Noto Sans CJK KR" w:hAnsi="Noto Sans CJK KR" w:eastAsia="Noto Sans CJK KR" w:cs="Noto Sans CJK KR"/>
          <w:b/>
          <w:sz w:val="22"/>
        </w:rPr>
        <w:t>5부</w:t>
      </w:r>
    </w:p>
    <w:p>
      <w:pPr>
        <w:pStyle w:val="affa"/>
        <w:jc w:val="center"/>
      </w:pPr>
      <w:r>
        <w:rPr>
          <w:rFonts w:ascii="KoPubWorld바탕체_Pro Bold" w:hAnsi="KoPubWorld바탕체_Pro Bold" w:eastAsia="KoPubWorld바탕체_Pro Bold" w:cs="KoPubWorld바탕체_Pro Bold"/>
          <w:b/>
          <w:sz w:val="36"/>
        </w:rPr>
        <w:t>경계가 다시 움직이는 시대</w:t>
      </w:r>
    </w:p>
    <w:p>
      <w:pPr>
        <w:pStyle w:val="affb"/>
        <w:jc w:val="center"/>
      </w:pPr>
      <w:r>
        <w:rPr>
          <w:rFonts w:ascii="KoPubWorld바탕체_Pro Light" w:hAnsi="KoPubWorld바탕체_Pro Light" w:eastAsia="KoPubWorld바탕체_Pro Light" w:cs="KoPubWorld바탕체_Pro Light"/>
          <w:sz w:val="19"/>
        </w:rPr>
        <w:t>새 규제의 경계는 은행면허보다 기능·데이터·클라우드·토큰·모델을 따라 움직인다.</w:t>
      </w:r>
    </w:p>
    <w:p>
      <w:r>
        <w:br w:type="page"/>
      </w:r>
    </w:p>
    <w:p>
      <w:pPr>
        <w:spacing w:before="480" w:after="0"/>
      </w:pPr>
    </w:p>
    <w:p>
      <w:pPr>
        <w:keepNext/>
        <w:jc w:val="center"/>
      </w:pPr>
      <w:r>
        <w:drawing>
          <wp:inline xmlns:a="http://schemas.openxmlformats.org/drawingml/2006/main" xmlns:pic="http://schemas.openxmlformats.org/drawingml/2006/picture">
            <wp:extent cx="3941063" cy="2218026"/>
            <wp:docPr id="16" name="Picture 16" descr="경계가 다시 움직이는 시대" title="경계가 다시 움직이는 시대"/>
            <wp:cNvGraphicFramePr>
              <a:graphicFrameLocks noChangeAspect="1"/>
            </wp:cNvGraphicFramePr>
            <a:graphic>
              <a:graphicData uri="http://schemas.openxmlformats.org/drawingml/2006/picture">
                <pic:pic>
                  <pic:nvPicPr>
                    <pic:cNvPr id="0" name="part5_digital_boundary_gray_q86.jpg"/>
                    <pic:cNvPicPr/>
                  </pic:nvPicPr>
                  <pic:blipFill>
                    <a:blip r:embed="rId52"/>
                    <a:stretch>
                      <a:fillRect/>
                    </a:stretch>
                  </pic:blipFill>
                  <pic:spPr>
                    <a:xfrm>
                      <a:off x="0" y="0"/>
                      <a:ext cx="3941063" cy="2218026"/>
                    </a:xfrm>
                    <a:prstGeom prst="rect"/>
                  </pic:spPr>
                </pic:pic>
              </a:graphicData>
            </a:graphic>
          </wp:inline>
        </w:drawing>
      </w:r>
    </w:p>
    <w:p>
      <w:pPr>
        <w:spacing w:before="140" w:after="0"/>
      </w:pPr>
    </w:p>
    <w:p>
      <w:pPr>
        <w:pStyle w:val="affb"/>
        <w:jc w:val="center"/>
      </w:pPr>
      <w:r>
        <w:rPr>
          <w:rFonts w:ascii="KoPubWorld바탕체_Pro Light" w:hAnsi="KoPubWorld바탕체_Pro Light" w:eastAsia="KoPubWorld바탕체_Pro Light" w:cs="KoPubWorld바탕체_Pro Light"/>
          <w:sz w:val="19"/>
        </w:rPr>
        <w:t>경계가 다시 움직이는 시대</w:t>
      </w:r>
    </w:p>
    <w:p>
      <w:r>
        <w:br w:type="page"/>
      </w:r>
    </w:p>
    <w:p>
      <w:pPr>
        <w:pStyle w:val="aff2"/>
        <w:spacing w:before="440"/>
        <w:jc w:val="center"/>
      </w:pPr>
      <w:r>
        <w:rPr>
          <w:rFonts w:ascii="KoPubWorld바탕체_Pro Bold" w:hAnsi="KoPubWorld바탕체_Pro Bold" w:eastAsia="KoPubWorld바탕체_Pro Bold" w:cs="KoPubWorld바탕체_Pro Bold"/>
          <w:b/>
          <w:sz w:val="24"/>
        </w:rPr>
        <w:t>Chapter. 29</w:t>
      </w:r>
    </w:p>
    <w:p>
      <w:pPr>
        <w:pStyle w:val="aff1"/>
        <w:jc w:val="center"/>
      </w:pPr>
      <w:r>
        <w:rPr>
          <w:rFonts w:ascii="KoPubWorld바탕체_Pro Bold" w:hAnsi="KoPubWorld바탕체_Pro Bold" w:eastAsia="KoPubWorld바탕체_Pro Bold" w:cs="KoPubWorld바탕체_Pro Bold"/>
          <w:b/>
          <w:sz w:val="28"/>
        </w:rPr>
        <w:t>코인은 무엇인가 - 가상자산 이용자보호, MiCA, 시장무결성</w:t>
      </w:r>
    </w:p>
    <w:p>
      <w:pPr>
        <w:spacing w:before="60" w:after="0"/>
      </w:pPr>
    </w:p>
    <w:p>
      <w:pPr>
        <w:keepNext/>
        <w:jc w:val="center"/>
      </w:pPr>
      <w:r>
        <w:drawing>
          <wp:inline xmlns:a="http://schemas.openxmlformats.org/drawingml/2006/main" xmlns:pic="http://schemas.openxmlformats.org/drawingml/2006/picture">
            <wp:extent cx="3941063" cy="2627375"/>
            <wp:docPr id="17" name="Picture 17" descr="가상자산 수탁과 거래감시. 새로운 토큰에도 오래된 분리보관과 시장무결성의 질문이 돌아왔다." title="가상자산 수탁과 거래감시. 새로운 토큰에도 오래된 분리보관과 시장무결성의 질문이 돌아왔다."/>
            <wp:cNvGraphicFramePr>
              <a:graphicFrameLocks noChangeAspect="1"/>
            </wp:cNvGraphicFramePr>
            <a:graphic>
              <a:graphicData uri="http://schemas.openxmlformats.org/drawingml/2006/picture">
                <pic:pic>
                  <pic:nvPicPr>
                    <pic:cNvPr id="0" name="ch29_crypto_custody_gray_q86.jpg"/>
                    <pic:cNvPicPr/>
                  </pic:nvPicPr>
                  <pic:blipFill>
                    <a:blip r:embed="rId53"/>
                    <a:stretch>
                      <a:fillRect/>
                    </a:stretch>
                  </pic:blipFill>
                  <pic:spPr>
                    <a:xfrm>
                      <a:off x="0" y="0"/>
                      <a:ext cx="3941063" cy="2627375"/>
                    </a:xfrm>
                    <a:prstGeom prst="rect"/>
                  </pic:spPr>
                </pic:pic>
              </a:graphicData>
            </a:graphic>
          </wp:inline>
        </w:drawing>
      </w:r>
    </w:p>
    <w:p>
      <w:pPr>
        <w:pStyle w:val="aff6"/>
        <w:jc w:val="center"/>
      </w:pPr>
      <w:r>
        <w:rPr>
          <w:rFonts w:ascii="Noto Sans CJK KR" w:hAnsi="Noto Sans CJK KR" w:eastAsia="Noto Sans CJK KR" w:cs="Noto Sans CJK KR"/>
          <w:sz w:val="17"/>
        </w:rPr>
        <w:t>그림 29. 가상자산 수탁과 거래감시. 새로운 토큰에도 오래된 분리보관과 시장무결성의 질문이 돌아왔다.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2024년 7월 19일 자정, 한국의 가상자산 거래소들은 새 법의 시간에 들어갔다. 고객의 원화를 따로 보관하고, 코인을 같은 종류와 수량으로 유지하며, 인터넷과 분리된 지갑에 일정 비율을 보관하고, 이상거래를 감시해야 했다. 전날의 코인과 다음 날의 코인은 기술적으로 같았다. 달라진 것은 손실이 났을 때 누구의 책임인지 묻는 법적 문장이었다. 2023년 7월 18일 제정된 가상자산 이용자 보호 등에 관한 법률이 2024년 7월 19일부터 시행된 결과였다.</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4"/>
          <w:vertAlign w:val="superscript"/>
        </w:rPr>
        <w:t>188</w:t>
      </w:r>
    </w:p>
    <w:p>
      <w:pPr>
        <w:pStyle w:val="aff3"/>
        <w:spacing w:line="259" w:lineRule="auto"/>
      </w:pPr>
      <w:r>
        <w:rPr>
          <w:rFonts w:ascii="KoPubWorld바탕체_Pro Light" w:hAnsi="KoPubWorld바탕체_Pro Light" w:eastAsia="KoPubWorld바탕체_Pro Light" w:cs="KoPubWorld바탕체_Pro Light"/>
          <w:sz w:val="16"/>
        </w:rPr>
        <w:t>코인은 코드로 생성되지만 권리는 코드만으로 정해지지 않는다. 발행자가 미래 사업의 수익을 약속하면 투자계약에 가까워지고, 특정 서비스에서 쓰이면 이용권과 닮으며, 가격을 고정해 결제에 쓰이면 화폐의 기능에 다가간다. 아무 발행자 없이 네트워크 참여자들이 기록을 합의하는 코인도 있다. 하나의 기술 형식에 여러 경제적 약속이 담기므로 ‘코인은 무엇인가’라는 질문에는 한 단어의 답이 없다.</w:t>
      </w:r>
    </w:p>
    <w:p>
      <w:pPr>
        <w:pStyle w:val="aff3"/>
        <w:spacing w:line="259" w:lineRule="auto"/>
      </w:pPr>
      <w:r>
        <w:rPr>
          <w:rFonts w:ascii="KoPubWorld바탕체_Pro Light" w:hAnsi="KoPubWorld바탕체_Pro Light" w:eastAsia="KoPubWorld바탕체_Pro Light" w:cs="KoPubWorld바탕체_Pro Light"/>
          <w:sz w:val="16"/>
        </w:rPr>
        <w:t>규제의 임무는 이름을 잘 붙이는 데서 끝나지 않는다. 누가 고객 자산을 보관하는지, 거래 가격을 누가 만들고 감시하는지, 발행 정보가 틀렸을 때 누가 배상하는지, 국경 밖 사업자를 어떻게 집행할지를 기능별로 나누어야 한다. 코인이라는 새 물건은 금융규제의 오래된 경계를 다시 시험한다.</w:t>
      </w:r>
    </w:p>
    <w:p>
      <w:pPr>
        <w:pStyle w:val="aff3"/>
        <w:spacing w:line="259" w:lineRule="auto"/>
      </w:pPr>
      <w:r>
        <w:rPr>
          <w:rFonts w:ascii="KoPubWorld바탕체_Pro Light" w:hAnsi="KoPubWorld바탕체_Pro Light" w:eastAsia="KoPubWorld바탕체_Pro Light" w:cs="KoPubWorld바탕체_Pro Light"/>
          <w:sz w:val="16"/>
        </w:rPr>
        <w:t>법적 분류는 마케팅 문구가 아니라 권리의 갈림길이다. 증권이면 발행공시와 불공정거래, 중개업 규칙이 따라오고, 지급수단이면 준비자산과 결제완결성·상환이 중심이 된다. 수집품이나 이용권이라도 대규모 중개·보관이 붙으면 별도 위험이 생긴다. 발행자가 붙인 이름보다 판매 방식과 보유자가 합리적으로 기대한 약속을 보아야 한다.</w:t>
      </w:r>
    </w:p>
    <w:p>
      <w:pPr>
        <w:pStyle w:val="aff3"/>
        <w:spacing w:line="259" w:lineRule="auto"/>
      </w:pPr>
      <w:r>
        <w:rPr>
          <w:rFonts w:ascii="KoPubWorld바탕체_Pro Light" w:hAnsi="KoPubWorld바탕체_Pro Light" w:eastAsia="KoPubWorld바탕체_Pro Light" w:cs="KoPubWorld바탕체_Pro Light"/>
          <w:sz w:val="16"/>
        </w:rPr>
        <w:t>기술중립성은 모든 기술을 똑같이 대하라는 뜻이 아니다. 같은 경제 기능에는 같은 보호 목표를 적용하되 개인키, 스마트계약과 탈중앙 거버넌스가 만든 고유한 실패 경로는 추가로 다뤄야 한다. 기존 상자에 억지로 넣는 일과 새로움만을 이유로 면제하는 일을 함께 피해야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먼저 열린 문은 자금세탁방지였다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한국의 첫 포괄적 진입 규율은 투자자보호보다 자금세탁방지에서 시작했다. 2020년 3월 24일 개정된 특정 금융거래정보의 보고 및 이용 등에 관한 법률은 가상자산사업자 신고와 자금세탁방지 의무를 도입했고, 개정 규정은 2021년 3월 25일부터 시행되었다.</w:t>
      </w:r>
      <w:r>
        <w:rPr>
          <w:rFonts w:ascii="KoPubWorld바탕체_Pro Light" w:hAnsi="KoPubWorld바탕체_Pro Light" w:eastAsia="KoPubWorld바탕체_Pro Light" w:cs="KoPubWorld바탕체_Pro Light"/>
          <w:sz w:val="14"/>
          <w:vertAlign w:val="superscript"/>
        </w:rPr>
        <w:t>189</w:t>
      </w:r>
      <w:r>
        <w:rPr>
          <w:rFonts w:ascii="KoPubWorld바탕체_Pro Light" w:hAnsi="KoPubWorld바탕체_Pro Light" w:eastAsia="KoPubWorld바탕체_Pro Light" w:cs="KoPubWorld바탕체_Pro Light"/>
          <w:sz w:val="14"/>
          <w:vertAlign w:val="superscript"/>
        </w:rPr>
        <w:t>190</w:t>
      </w:r>
      <w:r>
        <w:rPr>
          <w:rFonts w:ascii="KoPubWorld바탕체_Pro Light" w:hAnsi="KoPubWorld바탕체_Pro Light" w:eastAsia="KoPubWorld바탕체_Pro Light" w:cs="KoPubWorld바탕체_Pro Light"/>
          <w:sz w:val="16"/>
        </w:rPr>
        <w:t xml:space="preserve"> 거래소와 보관업자 등은 금융정보분석원에 신고하고 고객확인, 의심거래 보고와 기록보존 체계에 들어왔다.</w:t>
      </w:r>
    </w:p>
    <w:p>
      <w:pPr>
        <w:pStyle w:val="aff3"/>
        <w:spacing w:line="259" w:lineRule="auto"/>
      </w:pPr>
      <w:r>
        <w:rPr>
          <w:rFonts w:ascii="KoPubWorld바탕체_Pro Light" w:hAnsi="KoPubWorld바탕체_Pro Light" w:eastAsia="KoPubWorld바탕체_Pro Light" w:cs="KoPubWorld바탕체_Pro Light"/>
          <w:sz w:val="16"/>
        </w:rPr>
        <w:t>신고 수리의 문턱에는 정보보호 관리체계 인증과 실명확인 입출금계정 같은 요건이 연결되었다.</w:t>
      </w:r>
      <w:r>
        <w:rPr>
          <w:rFonts w:ascii="KoPubWorld바탕체_Pro Light" w:hAnsi="KoPubWorld바탕체_Pro Light" w:eastAsia="KoPubWorld바탕체_Pro Light" w:cs="KoPubWorld바탕체_Pro Light"/>
          <w:sz w:val="14"/>
          <w:vertAlign w:val="superscript"/>
        </w:rPr>
        <w:t>190</w:t>
      </w:r>
      <w:r>
        <w:rPr>
          <w:rFonts w:ascii="KoPubWorld바탕체_Pro Light" w:hAnsi="KoPubWorld바탕체_Pro Light" w:eastAsia="KoPubWorld바탕체_Pro Light" w:cs="KoPubWorld바탕체_Pro Light"/>
          <w:sz w:val="16"/>
        </w:rPr>
        <w:t xml:space="preserve"> 은행 계좌와 거래소의 고객 식별을 맞추면 익명 계정의 자금 흐름을 추적하기 쉬워진다. 해킹에 취약한 사업자를 걸러 내고 원화 입출금의 책임선을 만드는 효과도 있었다.</w:t>
      </w:r>
    </w:p>
    <w:p>
      <w:pPr>
        <w:pStyle w:val="aff3"/>
        <w:spacing w:line="259" w:lineRule="auto"/>
      </w:pPr>
      <w:r>
        <w:rPr>
          <w:rFonts w:ascii="KoPubWorld바탕체_Pro Light" w:hAnsi="KoPubWorld바탕체_Pro Light" w:eastAsia="KoPubWorld바탕체_Pro Light" w:cs="KoPubWorld바탕체_Pro Light"/>
          <w:sz w:val="16"/>
        </w:rPr>
        <w:t>그러나 자금세탁방지 신고는 금융상품의 안전성을 보증하는 면허가 아니다. 사업자가 신고되었다고 코인의 가치, 발행자의 사업계획이나 거래소의 상장 판단까지 정부가 승인한 것은 아니다. 소비자가 ‘당국 신고’를 ‘투자 적격성 인증’으로 오해하면 제한된 규제가 오히려 신뢰의 외피가 된다. 규제자는 자신이 확인한 것과 확인하지 않은 것을 분명히 설명해야 한다.</w:t>
      </w:r>
    </w:p>
    <w:p>
      <w:pPr>
        <w:pStyle w:val="aff3"/>
        <w:spacing w:line="259" w:lineRule="auto"/>
      </w:pPr>
      <w:r>
        <w:rPr>
          <w:rFonts w:ascii="KoPubWorld바탕체_Pro Light" w:hAnsi="KoPubWorld바탕체_Pro Light" w:eastAsia="KoPubWorld바탕체_Pro Light" w:cs="KoPubWorld바탕체_Pro Light"/>
          <w:sz w:val="16"/>
        </w:rPr>
        <w:t>은행의 실명계정 심사는 또 다른 문을 만들었다. 은행이 거래소의 자금세탁 위험과 내부통제를 평가하는 것은 공적 목표를 돕지만, 사실상 시장 진입을 결정하는 민간 게이트키퍼가 된다. 기준이 불투명하거나 은행마다 크게 다르면 혁신 사업자의 진입과 경쟁이 제한될 수 있다. 공공 감독과 은행의 계약 판단 사이의 책임을 구분하고, 거절 기준과 개선 가능성을 예측 가능하게 만드는 것이 중요하다.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이용자 자산을 회사의 장부에서 떼어 내다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가상자산 이용자보호법의 첫 축은 보관이다. 거래소가 고객에게 보여 주는 잔액은 회사의 자기자산이 아니라 반환해야 할 재산이다. 고객 예치금의 분리 보관, 고객 가상자산과 동일한 종류·수량의 실질 보유, 일정 비율의 콜드월렛 보관, 해킹·전산사고에 대비한 보험·공제 또는 준비금이 요구된다.</w:t>
      </w:r>
      <w:r>
        <w:rPr>
          <w:rFonts w:ascii="KoPubWorld바탕체_Pro Light" w:hAnsi="KoPubWorld바탕체_Pro Light" w:eastAsia="KoPubWorld바탕체_Pro Light" w:cs="KoPubWorld바탕체_Pro Light"/>
          <w:sz w:val="14"/>
          <w:vertAlign w:val="superscript"/>
        </w:rPr>
        <w:t>188</w:t>
      </w:r>
    </w:p>
    <w:p>
      <w:pPr>
        <w:pStyle w:val="aff3"/>
        <w:spacing w:line="259" w:lineRule="auto"/>
      </w:pPr>
      <w:r>
        <w:rPr>
          <w:rFonts w:ascii="KoPubWorld바탕체_Pro Light" w:hAnsi="KoPubWorld바탕체_Pro Light" w:eastAsia="KoPubWorld바탕체_Pro Light" w:cs="KoPubWorld바탕체_Pro Light"/>
          <w:sz w:val="16"/>
        </w:rPr>
        <w:t>이 규칙은 ‘1코인=1코인’이라는 화면의 약속을 법적·운영적 의무로 바꾼다. 거래소가 고객 코인을 몰래 빌려 주거나 자기 거래에 쓰면 평상시에는 수익을 얻을 수 있지만 인출이 몰릴 때 부족이 드러난다. 은행의 지급준비와 비슷해 보이지만 코인에는 중앙은행의 최종대부자가 없다. 따라서 실제 보유, 지갑 통제권과 도산 때의 귀속이 더 중요하다.</w:t>
      </w:r>
      <w:r>
        <w:rPr>
          <w:rFonts w:ascii="KoPubWorld바탕체_Pro Light" w:hAnsi="KoPubWorld바탕체_Pro Light" w:eastAsia="KoPubWorld바탕체_Pro Light" w:cs="KoPubWorld바탕체_Pro Light"/>
          <w:sz w:val="14"/>
          <w:vertAlign w:val="superscript"/>
        </w:rPr>
        <w:t>187</w:t>
      </w:r>
    </w:p>
    <w:p>
      <w:pPr>
        <w:pStyle w:val="aff3"/>
        <w:spacing w:line="259" w:lineRule="auto"/>
      </w:pPr>
      <w:r>
        <w:rPr>
          <w:rFonts w:ascii="KoPubWorld바탕체_Pro Light" w:hAnsi="KoPubWorld바탕체_Pro Light" w:eastAsia="KoPubWorld바탕체_Pro Light" w:cs="KoPubWorld바탕체_Pro Light"/>
          <w:sz w:val="16"/>
        </w:rPr>
        <w:t>분리보관만으로 모든 손실을 막지는 못한다. 개인키를 분산 보관해도 내부자가 권한을 결합할 수 있고, 외부 보관업체에 맡기면 제3자 위험이 생긴다. 콜드월렛은 원격 공격을 줄이지만 입출금 속도와 운영 복잡성을 높인다. 규제는 특정 기술을 만능 해법으로 고정하기보다 권한 분리, 다중승인, 잔액 대사와 비상 복구라는 통제 목적을 확인해야 한다.</w:t>
      </w:r>
    </w:p>
    <w:p>
      <w:pPr>
        <w:pStyle w:val="aff3"/>
        <w:spacing w:line="259" w:lineRule="auto"/>
      </w:pPr>
      <w:r>
        <w:rPr>
          <w:rFonts w:ascii="KoPubWorld바탕체_Pro Light" w:hAnsi="KoPubWorld바탕체_Pro Light" w:eastAsia="KoPubWorld바탕체_Pro Light" w:cs="KoPubWorld바탕체_Pro Light"/>
          <w:sz w:val="16"/>
        </w:rPr>
        <w:t>보험과 준비금 역시 손실의 상한을 정할 뿐 무한한 보증은 아니다. 보장 범위와 면책, 사고 규모가 실제 위험과 맞는지 봐야 한다. 고객은 거래소가 ‘보험 가입’이라는 문구를 내걸었다고 모든 가격 하락과 사기가 보상된다고 생각할 수 있다. 보관 실패와 시장 손실을 구별하는 설명이 필요하다.</w:t>
      </w:r>
    </w:p>
    <w:p>
      <w:pPr>
        <w:pStyle w:val="aff3"/>
        <w:spacing w:line="259" w:lineRule="auto"/>
      </w:pPr>
      <w:r>
        <w:rPr>
          <w:rFonts w:ascii="KoPubWorld바탕체_Pro Light" w:hAnsi="KoPubWorld바탕체_Pro Light" w:eastAsia="KoPubWorld바탕체_Pro Light" w:cs="KoPubWorld바탕체_Pro Light"/>
          <w:sz w:val="16"/>
        </w:rPr>
        <w:t>이른바 준비금 증명은 특정 시점의 지갑 잔액을 보여 줄 수 있지만 회사의 전체 부채와 담보 제공, 장부 밖 의무까지 자동으로 보여 주지 않는다. 같은 자산을 잠시 빌리거나 여러 의무에 중복 표시할 가능성도 점검해야 한다. 지갑의 암호학적 증명, 회계감사와 법적 자산 귀속은 서로 보완 관계다.</w:t>
      </w:r>
    </w:p>
    <w:p>
      <w:pPr>
        <w:pStyle w:val="aff3"/>
        <w:spacing w:line="259" w:lineRule="auto"/>
      </w:pPr>
      <w:r>
        <w:rPr>
          <w:rFonts w:ascii="KoPubWorld바탕체_Pro Light" w:hAnsi="KoPubWorld바탕체_Pro Light" w:eastAsia="KoPubWorld바탕체_Pro Light" w:cs="KoPubWorld바탕체_Pro Light"/>
          <w:sz w:val="16"/>
        </w:rPr>
        <w:t>고객별 내부원장과 온체인 지갑의 대사도 필요하다. 거래소는 수많은 고객 거래를 내부에서 상계하므로 블록체인만 보아서는 각 고객 잔액을 알 수 없다. 인출 요구 총액과 실제 통제 가능한 지갑, 법정화폐 예치금을 정기적으로 맞추고 차이를 신속히 조사해야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시장을 만드는 자가 거래도 할 때</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두 번째 축은 시장무결성이다. 법은 미공개 중요정보 이용, 시세조종과 부정거래를 금지하고, 거래소에 이상거래 상시 감시와 당국 통보 의무를 부과했다. 금융위원회와 금융감독원은 사업자를 감독·검사하고 불공정거래에 과징금과 형사책임을 물을 수 있다.</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4"/>
          <w:vertAlign w:val="superscript"/>
        </w:rPr>
        <w:t>188</w:t>
      </w:r>
    </w:p>
    <w:p>
      <w:pPr>
        <w:pStyle w:val="aff3"/>
        <w:spacing w:line="259" w:lineRule="auto"/>
      </w:pPr>
      <w:r>
        <w:rPr>
          <w:rFonts w:ascii="KoPubWorld바탕체_Pro Light" w:hAnsi="KoPubWorld바탕체_Pro Light" w:eastAsia="KoPubWorld바탕체_Pro Light" w:cs="KoPubWorld바탕체_Pro Light"/>
          <w:sz w:val="16"/>
        </w:rPr>
        <w:t>가상자산 시장은 24시간 열리고 여러 나라 거래소에서 동시에 가격이 만들어진다. 발행자, 재단, 초기 투자자와 거래소가 가진 정보의 격차가 크며, 유동성이 얕은 코인은 적은 자금으로도 가격을 움직일 수 있다. 전통 증권시장의 종가와 장 마감, 중앙화된 공시시스템을 그대로 옮기기 어렵다. 감시는 블록체인 기록과 거래소 내부 주문장, 법정화폐 흐름을 함께 보아야 한다.</w:t>
      </w:r>
    </w:p>
    <w:p>
      <w:pPr>
        <w:pStyle w:val="aff3"/>
        <w:spacing w:line="259" w:lineRule="auto"/>
      </w:pPr>
      <w:r>
        <w:rPr>
          <w:rFonts w:ascii="KoPubWorld바탕체_Pro Light" w:hAnsi="KoPubWorld바탕체_Pro Light" w:eastAsia="KoPubWorld바탕체_Pro Light" w:cs="KoPubWorld바탕체_Pro Light"/>
          <w:sz w:val="16"/>
        </w:rPr>
        <w:t>거래소는 상장 심사자, 시장 운영자, 고객자산 보관자와 때로는 자기계정 거래의 이해를 동시에 가질 수 있다. 여러 기능이 한 회사에 모이면 속도와 편의는 커지지만 이해상충도 농축된다. 어떤 코인을 상장하고 상장폐지할지, 시장조성자의 주문에 어떤 혜택을 줄지, 사고 때 누구의 출금을 먼저 처리할지가 모두 가격에 영향을 준다. 기능 분리, 관련자 거래 공시와 독립된 상장 거버넌스가 필요하다.</w:t>
      </w:r>
    </w:p>
    <w:p>
      <w:pPr>
        <w:pStyle w:val="aff3"/>
        <w:spacing w:line="259" w:lineRule="auto"/>
      </w:pPr>
      <w:r>
        <w:rPr>
          <w:rFonts w:ascii="KoPubWorld바탕체_Pro Light" w:hAnsi="KoPubWorld바탕체_Pro Light" w:eastAsia="KoPubWorld바탕체_Pro Light" w:cs="KoPubWorld바탕체_Pro Light"/>
          <w:sz w:val="16"/>
        </w:rPr>
        <w:t>불공정거래를 처벌하려면 기준가격과 이익을 계산해야 한다. 가격이 거래소마다 다르고 지갑 사이 이전이 잦으면 위반 행위의 범위와 부당이득 산정이 복잡하다. 2026년 4월 금융위원회는 가상자산시장 조사 규정을 개정해 조사와 제재 절차를 보완했다.</w:t>
      </w:r>
      <w:r>
        <w:rPr>
          <w:rFonts w:ascii="KoPubWorld바탕체_Pro Light" w:hAnsi="KoPubWorld바탕체_Pro Light" w:eastAsia="KoPubWorld바탕체_Pro Light" w:cs="KoPubWorld바탕체_Pro Light"/>
          <w:sz w:val="14"/>
          <w:vertAlign w:val="superscript"/>
        </w:rPr>
        <w:t>191</w:t>
      </w:r>
      <w:r>
        <w:rPr>
          <w:rFonts w:ascii="KoPubWorld바탕체_Pro Light" w:hAnsi="KoPubWorld바탕체_Pro Light" w:eastAsia="KoPubWorld바탕체_Pro Light" w:cs="KoPubWorld바탕체_Pro Light"/>
          <w:sz w:val="16"/>
        </w:rPr>
        <w:t xml:space="preserve"> 법의 존재보다 데이터 접근과 분석 역량, 해외 당국과의 협력이 집행의 실제 한계를 정한다.</w:t>
      </w:r>
    </w:p>
    <w:p>
      <w:pPr>
        <w:pStyle w:val="aff3"/>
        <w:spacing w:line="259" w:lineRule="auto"/>
      </w:pPr>
      <w:r>
        <w:rPr>
          <w:rFonts w:ascii="KoPubWorld바탕체_Pro Light" w:hAnsi="KoPubWorld바탕체_Pro Light" w:eastAsia="KoPubWorld바탕체_Pro Light" w:cs="KoPubWorld바탕체_Pro Light"/>
          <w:sz w:val="16"/>
        </w:rPr>
        <w:t>시장 감시는 거래소 한 곳의 주문만 보아서는 부족하다. 한 시장에서 가격을 올리고 다른 시장의 파생 포지션에서 이익을 얻을 수 있으며, 소셜미디어 홍보와 온체인 이전이 주문보다 먼저 움직인다. 거래소 간 식별자와 시계, 의심거래 정보의 표준화가 필요하지만 개인정보와 영업비밀의 범위도 지켜야 한다.</w:t>
      </w:r>
    </w:p>
    <w:p>
      <w:pPr>
        <w:pStyle w:val="aff3"/>
        <w:spacing w:line="259" w:lineRule="auto"/>
      </w:pPr>
      <w:r>
        <w:rPr>
          <w:rFonts w:ascii="KoPubWorld바탕체_Pro Light" w:hAnsi="KoPubWorld바탕체_Pro Light" w:eastAsia="KoPubWorld바탕체_Pro Light" w:cs="KoPubWorld바탕체_Pro Light"/>
          <w:sz w:val="16"/>
        </w:rPr>
        <w:t>상장 직전 정보와 내부 지갑의 움직임은 전통 시장의 내부자 정보와 닮았다. 다만 ‘내부자’가 법인 임직원뿐 아니라 개발자, 검증자, 재단과 마케팅 대행사로 흩어질 수 있다. 중요정보에 접근한 사람과 지갑을 식별하고 거래 제한·공시 의무를 역할별로 설계해야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1단계법이 남겨 둔 자리</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이용자보호법은 의도적으로 1단계법으로 불렸다. 보관과 불공정거래를 먼저 규율했지만 발행·공시, 사업자 유형별 영업행위, 스테이블코인과 거래소 지배구조를 포괄적으로 완성하지 않았다. 응급한 바닥을 먼저 깔고 더 큰 시장법은 뒤에 논의하는 순서였다.</w:t>
      </w:r>
      <w:r>
        <w:rPr>
          <w:rFonts w:ascii="KoPubWorld바탕체_Pro Light" w:hAnsi="KoPubWorld바탕체_Pro Light" w:eastAsia="KoPubWorld바탕체_Pro Light" w:cs="KoPubWorld바탕체_Pro Light"/>
          <w:sz w:val="14"/>
          <w:vertAlign w:val="superscript"/>
        </w:rPr>
        <w:t>192</w:t>
      </w:r>
    </w:p>
    <w:p>
      <w:pPr>
        <w:pStyle w:val="aff3"/>
        <w:spacing w:line="259" w:lineRule="auto"/>
      </w:pPr>
      <w:r>
        <w:rPr>
          <w:rFonts w:ascii="KoPubWorld바탕체_Pro Light" w:hAnsi="KoPubWorld바탕체_Pro Light" w:eastAsia="KoPubWorld바탕체_Pro Light" w:cs="KoPubWorld바탕체_Pro Light"/>
          <w:sz w:val="16"/>
        </w:rPr>
        <w:t>이 순서는 장점이 있다. 모든 쟁점을 한꺼번에 합의할 때까지 기다리지 않고 고객 자산의 분리와 시장조작 금지를 시행할 수 있다. 기술과 시장이 빠르게 변하는 동안 실제 감독 경험을 다음 법에 반영할 수도 있다. 단점은 부분 규제가 제도 전체의 승인을 받은 것처럼 보이고, 경계 사이의 규제차익이 계속된다는 점이다.</w:t>
      </w:r>
      <w:r>
        <w:rPr>
          <w:rFonts w:ascii="KoPubWorld바탕체_Pro Light" w:hAnsi="KoPubWorld바탕체_Pro Light" w:eastAsia="KoPubWorld바탕체_Pro Light" w:cs="KoPubWorld바탕체_Pro Light"/>
          <w:sz w:val="14"/>
          <w:vertAlign w:val="superscript"/>
        </w:rPr>
        <w:t>187</w:t>
      </w:r>
    </w:p>
    <w:p>
      <w:pPr>
        <w:pStyle w:val="aff3"/>
        <w:spacing w:line="259" w:lineRule="auto"/>
      </w:pPr>
      <w:r>
        <w:rPr>
          <w:rFonts w:ascii="KoPubWorld바탕체_Pro Light" w:hAnsi="KoPubWorld바탕체_Pro Light" w:eastAsia="KoPubWorld바탕체_Pro Light" w:cs="KoPubWorld바탕체_Pro Light"/>
          <w:sz w:val="16"/>
        </w:rPr>
        <w:t>2026년 3월 4일 가상자산위원회는 가칭 디지털자산기본법의 정부 검토안을 논의했다. 거래소 내부통제·전산보안, 무과실 손해배상, 사업자 규율과 스테이블코인 발행 구조 등이 의견수렴 대상이었다.</w:t>
      </w:r>
      <w:r>
        <w:rPr>
          <w:rFonts w:ascii="KoPubWorld바탕체_Pro Light" w:hAnsi="KoPubWorld바탕체_Pro Light" w:eastAsia="KoPubWorld바탕체_Pro Light" w:cs="KoPubWorld바탕체_Pro Light"/>
          <w:sz w:val="14"/>
          <w:vertAlign w:val="superscript"/>
        </w:rPr>
        <w:t>192</w:t>
      </w:r>
      <w:r>
        <w:rPr>
          <w:rFonts w:ascii="KoPubWorld바탕체_Pro Light" w:hAnsi="KoPubWorld바탕체_Pro Light" w:eastAsia="KoPubWorld바탕체_Pro Light" w:cs="KoPubWorld바탕체_Pro Light"/>
          <w:sz w:val="16"/>
        </w:rPr>
        <w:t xml:space="preserve"> 이는 시행 법률의 발표가 아니라 검토 단계였다.</w:t>
      </w:r>
    </w:p>
    <w:p>
      <w:pPr>
        <w:pStyle w:val="aff3"/>
        <w:spacing w:line="259" w:lineRule="auto"/>
      </w:pPr>
      <w:r>
        <w:rPr>
          <w:rFonts w:ascii="KoPubWorld바탕체_Pro Light" w:hAnsi="KoPubWorld바탕체_Pro Light" w:eastAsia="KoPubWorld바탕체_Pro Light" w:cs="KoPubWorld바탕체_Pro Light"/>
          <w:sz w:val="16"/>
        </w:rPr>
        <w:t>2026년 7월 12일 현재 디지털자산기본법은 제정·시행된 법으로 확인되지 않는다. 특히 금융위원회는 2026년 1월 스테이블코인 발행 주체와 주주 구성 등 2단계법의 주요 내용이 확정되지 않았다고 두 차례 설명했다.</w:t>
      </w:r>
      <w:r>
        <w:rPr>
          <w:rFonts w:ascii="KoPubWorld바탕체_Pro Light" w:hAnsi="KoPubWorld바탕체_Pro Light" w:eastAsia="KoPubWorld바탕체_Pro Light" w:cs="KoPubWorld바탕체_Pro Light"/>
          <w:sz w:val="14"/>
          <w:vertAlign w:val="superscript"/>
        </w:rPr>
        <w:t>193</w:t>
      </w:r>
      <w:r>
        <w:rPr>
          <w:rFonts w:ascii="KoPubWorld바탕체_Pro Light" w:hAnsi="KoPubWorld바탕체_Pro Light" w:eastAsia="KoPubWorld바탕체_Pro Light" w:cs="KoPubWorld바탕체_Pro Light"/>
          <w:sz w:val="14"/>
          <w:vertAlign w:val="superscript"/>
        </w:rPr>
        <w:t>194</w:t>
      </w:r>
      <w:r>
        <w:rPr>
          <w:rFonts w:ascii="KoPubWorld바탕체_Pro Light" w:hAnsi="KoPubWorld바탕체_Pro Light" w:eastAsia="KoPubWorld바탕체_Pro Light" w:cs="KoPubWorld바탕체_Pro Light"/>
          <w:sz w:val="16"/>
        </w:rPr>
        <w:t xml:space="preserve"> 언론에 보도된 은행 중심 컨소시엄 비율을 현행 규칙처럼 쓰면 안 되는 이유다.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유럽은 시장법의 지붕을 먼저 세웠다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유럽연합의 ‘암호자산시장 규정’, MiCA는 2023년 5월 31일 채택된 단일 규정으로 암호자산 발행과 공개, 서비스사업자 인가, 고객자산 보호와 시장남용을 포괄한다. 자산준거토큰과 전자화폐토큰에 관한 조항은 2024년 6월 30일부터, 나머지 주요 규정은 2024년 12월 30일부터 적용되었다.</w:t>
      </w:r>
      <w:r>
        <w:rPr>
          <w:rFonts w:ascii="KoPubWorld바탕체_Pro Light" w:hAnsi="KoPubWorld바탕체_Pro Light" w:eastAsia="KoPubWorld바탕체_Pro Light" w:cs="KoPubWorld바탕체_Pro Light"/>
          <w:sz w:val="14"/>
          <w:vertAlign w:val="superscript"/>
        </w:rPr>
        <w:t>195</w:t>
      </w:r>
    </w:p>
    <w:p>
      <w:pPr>
        <w:pStyle w:val="aff3"/>
        <w:spacing w:line="259" w:lineRule="auto"/>
      </w:pPr>
      <w:r>
        <w:rPr>
          <w:rFonts w:ascii="KoPubWorld바탕체_Pro Light" w:hAnsi="KoPubWorld바탕체_Pro Light" w:eastAsia="KoPubWorld바탕체_Pro Light" w:cs="KoPubWorld바탕체_Pro Light"/>
          <w:sz w:val="16"/>
        </w:rPr>
        <w:t>MiCA의 특징은 코인 하나의 본질을 선언하기보다 유형과 기능을 나눈 데 있다. 기존 금융상품법에 들어가는 토큰은 그 법을 따르고, 그 밖의 암호자산에는 백서와 마케팅 책임을 부과한다. 거래소·보관·중개 같은 서비스에는 인가와 자본, 지배구조, 고객자산과 이해상충 규칙을 적용한다. 국경을 넘는 단일시장에서 공통 여권을 주는 대신 공통 바닥을 요구한다.</w:t>
      </w:r>
    </w:p>
    <w:p>
      <w:pPr>
        <w:pStyle w:val="aff3"/>
        <w:spacing w:line="259" w:lineRule="auto"/>
      </w:pPr>
      <w:r>
        <w:rPr>
          <w:rFonts w:ascii="KoPubWorld바탕체_Pro Light" w:hAnsi="KoPubWorld바탕체_Pro Light" w:eastAsia="KoPubWorld바탕체_Pro Light" w:cs="KoPubWorld바탕체_Pro Light"/>
          <w:sz w:val="16"/>
        </w:rPr>
        <w:t>전환 규정도 중요하다. 2024년 12월 30일 이전에 합법적으로 영업하던 암호자산 서비스 제공자는 회원국 선택에 따라 2026년 7월 1일까지 또는 인가 결정이 날 때까지 과도기 영업을 할 수 있었다.</w:t>
      </w:r>
      <w:r>
        <w:rPr>
          <w:rFonts w:ascii="KoPubWorld바탕체_Pro Light" w:hAnsi="KoPubWorld바탕체_Pro Light" w:eastAsia="KoPubWorld바탕체_Pro Light" w:cs="KoPubWorld바탕체_Pro Light"/>
          <w:sz w:val="14"/>
          <w:vertAlign w:val="superscript"/>
        </w:rPr>
        <w:t>196</w:t>
      </w:r>
      <w:r>
        <w:rPr>
          <w:rFonts w:ascii="KoPubWorld바탕체_Pro Light" w:hAnsi="KoPubWorld바탕체_Pro Light" w:eastAsia="KoPubWorld바탕체_Pro Light" w:cs="KoPubWorld바탕체_Pro Light"/>
          <w:sz w:val="16"/>
        </w:rPr>
        <w:t xml:space="preserve"> 법이 적용되었다는 사실과 모든 사업자의 새 인가가 같은 날 끝났다는 말은 다르다. 시행일, 전환기간과 감독 집행을 나누어 봐야 한다.</w:t>
      </w:r>
    </w:p>
    <w:p>
      <w:pPr>
        <w:pStyle w:val="aff3"/>
        <w:spacing w:line="259" w:lineRule="auto"/>
      </w:pPr>
      <w:r>
        <w:rPr>
          <w:rFonts w:ascii="KoPubWorld바탕체_Pro Light" w:hAnsi="KoPubWorld바탕체_Pro Light" w:eastAsia="KoPubWorld바탕체_Pro Light" w:cs="KoPubWorld바탕체_Pro Light"/>
          <w:sz w:val="16"/>
        </w:rPr>
        <w:t>단일 인가는 국경 간 서비스의 비용을 낮추지만 한 회원국의 감독 품질이 전체 시장에 영향을 주게 한다. 규제가 느슨한 관할을 선택하는 경쟁을 막으려면 유럽 감독기관과 각국 당국의 정보공유·일관된 집행이 필요하다. 공통 법문과 공통 감독 결과는 같은 것이 아니다.</w:t>
      </w:r>
    </w:p>
    <w:p>
      <w:pPr>
        <w:pStyle w:val="aff3"/>
        <w:spacing w:line="259" w:lineRule="auto"/>
      </w:pPr>
      <w:r>
        <w:rPr>
          <w:rFonts w:ascii="KoPubWorld바탕체_Pro Light" w:hAnsi="KoPubWorld바탕체_Pro Light" w:eastAsia="KoPubWorld바탕체_Pro Light" w:cs="KoPubWorld바탕체_Pro Light"/>
          <w:sz w:val="16"/>
        </w:rPr>
        <w:t>백서도 투자설명서의 그림자에 머물러서는 안 된다. 기술구조와 권리, 발행량, 지배구조와 위험을 이용자가 비교할 수 있어야 하고 변경사항을 갱신해야 한다. 코드 저장소가 공개돼 있다는 사실만으로 경제적 이해상충과 자금 사용이 설명되지는 않는다.</w:t>
      </w:r>
    </w:p>
    <w:p>
      <w:pPr>
        <w:pStyle w:val="aff3"/>
        <w:spacing w:line="259" w:lineRule="auto"/>
      </w:pPr>
      <w:r>
        <w:rPr>
          <w:rFonts w:ascii="KoPubWorld바탕체_Pro Light" w:hAnsi="KoPubWorld바탕체_Pro Light" w:eastAsia="KoPubWorld바탕체_Pro Light" w:cs="KoPubWorld바탕체_Pro Light"/>
          <w:sz w:val="16"/>
        </w:rPr>
        <w:t>MiCA가 모든 위험을 없앤 것도 아니다. 탈중앙화라는 명칭 아래 실제 통제자가 누구인지, 국외 프로토콜과 개인 지갑을 어떻게 다룰지, 토큰이 기존 증권에 해당하는 경계는 계속 남는다. 유럽식 포괄법은 법적 예측 가능성을 높이지만 세부 기술 변화에 느리게 대응할 수 있다. 한국의 단계입법과는 다른 장단점이다.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같은 위험, 누구와 같은가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금융안정위원회는 2023년 암호자산 활동에 대해 ‘같은 활동, 같은 위험, 같은 규제’를 지향하는 아홉 개 고위급 권고를 확정했다. 당국의 권한, 국경 간 협력, 지배구조, 위험관리, 데이터와 공시, 전통 금융과의 연계, 복합기능 사업자 규율이 그 축이다.</w:t>
      </w:r>
      <w:r>
        <w:rPr>
          <w:rFonts w:ascii="KoPubWorld바탕체_Pro Light" w:hAnsi="KoPubWorld바탕체_Pro Light" w:eastAsia="KoPubWorld바탕체_Pro Light" w:cs="KoPubWorld바탕체_Pro Light"/>
          <w:sz w:val="14"/>
          <w:vertAlign w:val="superscript"/>
        </w:rPr>
        <w:t>197</w:t>
      </w:r>
      <w:r>
        <w:rPr>
          <w:rFonts w:ascii="KoPubWorld바탕체_Pro Light" w:hAnsi="KoPubWorld바탕체_Pro Light" w:eastAsia="KoPubWorld바탕체_Pro Light" w:cs="KoPubWorld바탕체_Pro Light"/>
          <w:sz w:val="16"/>
        </w:rPr>
        <w:t xml:space="preserve"> 기술 이름보다 경제적 기능을 보라는 국제적 기준이다.</w:t>
      </w:r>
    </w:p>
    <w:p>
      <w:pPr>
        <w:pStyle w:val="aff3"/>
        <w:spacing w:line="259" w:lineRule="auto"/>
      </w:pPr>
      <w:r>
        <w:rPr>
          <w:rFonts w:ascii="KoPubWorld바탕체_Pro Light" w:hAnsi="KoPubWorld바탕체_Pro Light" w:eastAsia="KoPubWorld바탕체_Pro Light" w:cs="KoPubWorld바탕체_Pro Light"/>
          <w:sz w:val="16"/>
        </w:rPr>
        <w:t>하지만 ‘같은 위험’의 비교대상을 고르는 일은 쉽지 않다. 거래소 보관은 증권예탁과 비슷하지만 개인키 분실이라는 고유 위험이 있다. 코인 발행은 증권 공모와 닮지만 네트워크 이용권과 분산된 개발자가 섞인다. 24시간 글로벌 시장은 외환과 원자재, 온라인 게임 자산의 특징도 가진다. 전통 규칙을 그대로 복사하면 맞지 않고, 새로움만 강조하면 오래된 사기와 이해상충을 놓친다.</w:t>
      </w:r>
    </w:p>
    <w:p>
      <w:pPr>
        <w:pStyle w:val="aff3"/>
        <w:spacing w:line="259" w:lineRule="auto"/>
      </w:pPr>
      <w:r>
        <w:rPr>
          <w:rFonts w:ascii="KoPubWorld바탕체_Pro Light" w:hAnsi="KoPubWorld바탕체_Pro Light" w:eastAsia="KoPubWorld바탕체_Pro Light" w:cs="KoPubWorld바탕체_Pro Light"/>
          <w:sz w:val="16"/>
        </w:rPr>
        <w:t>좋은 경계는 질문의 순서를 바꾼다. 먼저 누가 누구에게 어떤 약속을 했는지 본다. 다음으로 그 약속이 깨질 때 고객의 자산과 정보, 결제와 시장 가격에 어떤 손실이 생기는지 본다. 마지막으로 기존 제도 가운데 같은 손실을 다룬 규칙을 가져오고, 블록체인에서만 생기는 보관·거버넌스 위험을 덧붙인다.</w:t>
      </w:r>
    </w:p>
    <w:p>
      <w:pPr>
        <w:pStyle w:val="aff3"/>
        <w:spacing w:line="259" w:lineRule="auto"/>
      </w:pPr>
      <w:r>
        <w:rPr>
          <w:rFonts w:ascii="KoPubWorld바탕체_Pro Light" w:hAnsi="KoPubWorld바탕체_Pro Light" w:eastAsia="KoPubWorld바탕체_Pro Light" w:cs="KoPubWorld바탕체_Pro Light"/>
          <w:sz w:val="16"/>
        </w:rPr>
        <w:t>코인은 하나의 물건이 아니므로 하나의 면허로 끝나지 않는다. 1단계 이용자보호는 바닥을 놓았고 MiCA는 더 넓은 지붕의 한 사례를 보여 준다. 한국의 다음 법은 혁신을 허용한다는 선언보다 발행, 상장, 보관과 거래 기능 사이에 손실 책임을 정확히 배치해야 한다. 그중 가장 어려운 것은 ‘항상 한 원’ 또는 ‘항상 한 달러’를 약속하는 코인이다. 가격 변동을 없앤 순간 코인은 투기자산보다 돈에 가까워지고, 규제의 중심은 시장무결성에서 통화 발행과 상환으로 이동한다.</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4"/>
          <w:vertAlign w:val="superscript"/>
        </w:rPr>
        <w:t>195</w:t>
      </w:r>
    </w:p>
    <w:p>
      <w:pPr>
        <w:pStyle w:val="aff3"/>
        <w:spacing w:line="259" w:lineRule="auto"/>
      </w:pPr>
      <w:r>
        <w:rPr>
          <w:rFonts w:ascii="KoPubWorld바탕체_Pro Light" w:hAnsi="KoPubWorld바탕체_Pro Light" w:eastAsia="KoPubWorld바탕체_Pro Light" w:cs="KoPubWorld바탕체_Pro Light"/>
          <w:sz w:val="16"/>
        </w:rPr>
        <w:t>법의 경계는 한 번 그어 끝나지 않는다. 토큰의 기능은 발행 뒤 바뀌고, 처음에는 이용권이던 것이 거래소 상장과 수익 약속을 얻을 수 있다. 정기 재분류와 사전 질의, 경계가 바뀔 때 이용자 자산을 안전하게 옮길 전환 절차가 필요하다. 불확실성을 숨기는 것보다 바뀌는 기준을 공개하는 편이 시장의 신뢰에 낫다.</w:t>
      </w:r>
    </w:p>
    <w:p>
      <w:pPr>
        <w:pStyle w:val="aff2"/>
        <w:pageBreakBefore/>
        <w:spacing w:before="440"/>
        <w:jc w:val="center"/>
      </w:pPr>
      <w:r>
        <w:rPr>
          <w:rFonts w:ascii="KoPubWorld바탕체_Pro Bold" w:hAnsi="KoPubWorld바탕체_Pro Bold" w:eastAsia="KoPubWorld바탕체_Pro Bold" w:cs="KoPubWorld바탕체_Pro Bold"/>
          <w:b/>
          <w:sz w:val="24"/>
        </w:rPr>
        <w:t>Chapter. 30</w:t>
      </w:r>
    </w:p>
    <w:p>
      <w:pPr>
        <w:pStyle w:val="aff1"/>
        <w:jc w:val="center"/>
      </w:pPr>
      <w:r>
        <w:rPr>
          <w:rFonts w:ascii="KoPubWorld바탕체_Pro Bold" w:hAnsi="KoPubWorld바탕체_Pro Bold" w:eastAsia="KoPubWorld바탕체_Pro Bold" w:cs="KoPubWorld바탕체_Pro Bold"/>
          <w:b/>
          <w:sz w:val="28"/>
        </w:rPr>
        <w:t>디지털 돈의 발행자는 누구인가 - 스테이블코인, CBDC, 토큰화 예금</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편의점 계산대에서 세 개의 디지털 원이 나란히 놓여 있다고 상상해 보자. 하나는 민간회사가 현금과 국채를 준비자산으로 쌓고 발행한 스테이블코인이다. 하나는 한국은행의 부채인 중앙은행 디지털화폐다. 다른 하나는 은행 예금을 분산원장 위의 토큰으로 바꾼 예금토큰이다. 화면에는 모두 ‘1,000원’이라고 뜰 수 있다. 그러나 발행자, 상환청구권, 파산 때의 순서와 최종 결제자산은 전혀 다르다.</w:t>
      </w:r>
    </w:p>
    <w:p>
      <w:pPr>
        <w:pStyle w:val="aff3"/>
        <w:spacing w:line="259" w:lineRule="auto"/>
      </w:pPr>
      <w:r>
        <w:rPr>
          <w:rFonts w:ascii="KoPubWorld바탕체_Pro Light" w:hAnsi="KoPubWorld바탕체_Pro Light" w:eastAsia="KoPubWorld바탕체_Pro Light" w:cs="KoPubWorld바탕체_Pro Light"/>
          <w:sz w:val="16"/>
        </w:rPr>
        <w:t>돈의 핵심은 모양이 아니라 액면대로 받아 줄 것이라는 약속이다. 현금은 중앙은행의 직접 부채이고, 은행예금은 상업은행의 부채지만 중앙은행 결제와 예금보험·건전성 규제로 액면의 동일성을 지킨다. 스테이블코인은 별도의 발행 구조가 그 약속을 만든다. 프로그래밍 가능한 토큰이라는 공통 기술만 보고 같은 돈이라 부르면 손실 부담의 차이가 가려진다.</w:t>
      </w:r>
    </w:p>
    <w:p>
      <w:pPr>
        <w:pStyle w:val="aff3"/>
        <w:spacing w:line="259" w:lineRule="auto"/>
      </w:pPr>
      <w:r>
        <w:rPr>
          <w:rFonts w:ascii="KoPubWorld바탕체_Pro Light" w:hAnsi="KoPubWorld바탕체_Pro Light" w:eastAsia="KoPubWorld바탕체_Pro Light" w:cs="KoPubWorld바탕체_Pro Light"/>
          <w:sz w:val="16"/>
        </w:rPr>
        <w:t>여러 디지털 돈이 공존하려면 액면 교환의 다리가 필요하다. 한 은행의 예금토큰을 다른 은행이나 현금으로 바꿀 때 가격 할인과 지연이 생기면 ‘한 원’의 단일성이 깨진다. 중앙은행 결제자산과 공통 규격, 상환의 법적 의무가 네트워크 사이를 이어야 한다. 상호운용성은 편의 기능이 아니라 통화 질서의 핵심이다.</w:t>
      </w:r>
    </w:p>
    <w:p>
      <w:pPr>
        <w:pStyle w:val="aff3"/>
        <w:spacing w:line="259" w:lineRule="auto"/>
      </w:pPr>
      <w:r>
        <w:rPr>
          <w:rFonts w:ascii="KoPubWorld바탕체_Pro Light" w:hAnsi="KoPubWorld바탕체_Pro Light" w:eastAsia="KoPubWorld바탕체_Pro Light" w:cs="KoPubWorld바탕체_Pro Light"/>
          <w:sz w:val="16"/>
        </w:rPr>
        <w:t>교환의 문이 특정 플랫폼 하나에만 있으면 발행자보다 게이트웨이가 시장권력을 가질 수 있다. 지갑 이전, 수수료와 상장 기준이 사실상 돈의 사용 범위를 정한다. 발행 규제와 함께 유통 인프라의 접근·경쟁 규칙을 보아야 하는 이유다.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‘항상 1’이라는 가장 어려운 약속</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스테이블코인은 특정 법정화폐나 자산의 가치에 가격을 연동하려는 토큰이다. 준비자산을 보유하고 발행·상환하는 방식, 다른 암호자산을 초과담보로 잡는 방식, 알고리즘과 시장 유인으로 공급을 조절하는 방식이 있다. 이름은 안정적이지만 안정은 기술의 속성이 아니라 준비자산, 상환권과 신뢰의 결과다.</w:t>
      </w:r>
    </w:p>
    <w:p>
      <w:pPr>
        <w:pStyle w:val="aff3"/>
        <w:spacing w:line="259" w:lineRule="auto"/>
      </w:pPr>
      <w:r>
        <w:rPr>
          <w:rFonts w:ascii="KoPubWorld바탕체_Pro Light" w:hAnsi="KoPubWorld바탕체_Pro Light" w:eastAsia="KoPubWorld바탕체_Pro Light" w:cs="KoPubWorld바탕체_Pro Light"/>
          <w:sz w:val="16"/>
        </w:rPr>
        <w:t>법정화폐 준비형에서는 토큰 보유자가 언제 어떤 절차로 액면 상환을 요구할 수 있는지가 중요하다. 발행자가 안전하고 유동적인 자산을 충분히 보유해도 은행 영업시간 밖이나 중개업자를 거쳐야만 상환할 수 있다면 시장 가격은 1에서 벗어날 수 있다. 준비자산이 장기채나 위험자산이면 금리 상승과 급매 때 손실이 난다. 준비금의 양만이 아니라 질, 만기와 보관기관을 봐야 한다.</w:t>
      </w:r>
    </w:p>
    <w:p>
      <w:pPr>
        <w:pStyle w:val="aff3"/>
        <w:spacing w:line="259" w:lineRule="auto"/>
      </w:pPr>
      <w:r>
        <w:rPr>
          <w:rFonts w:ascii="KoPubWorld바탕체_Pro Light" w:hAnsi="KoPubWorld바탕체_Pro Light" w:eastAsia="KoPubWorld바탕체_Pro Light" w:cs="KoPubWorld바탕체_Pro Light"/>
          <w:sz w:val="16"/>
        </w:rPr>
        <w:t>준비자산에서 생기는 이자와 상환 비용의 배분도 규제 문제다. 보유자는 이자를 받지 않는데 발행자가 준비자산 수익을 가지면 규모가 커질수록 강한 사업모델이 된다. 반대로 대량 상환의 운영비와 유동성 완충을 충분히 쌓지 않으면 평상시 수익은 주주에게, 위기 손실은 이용자에게 돌아간다. 공시와 외부 검증, 자본과 유동성 요건이 필요한 이유다.</w:t>
      </w:r>
    </w:p>
    <w:p>
      <w:pPr>
        <w:pStyle w:val="aff3"/>
        <w:spacing w:line="259" w:lineRule="auto"/>
      </w:pPr>
      <w:r>
        <w:rPr>
          <w:rFonts w:ascii="KoPubWorld바탕체_Pro Light" w:hAnsi="KoPubWorld바탕체_Pro Light" w:eastAsia="KoPubWorld바탕체_Pro Light" w:cs="KoPubWorld바탕체_Pro Light"/>
          <w:sz w:val="16"/>
        </w:rPr>
        <w:t>알고리즘형은 담보보다 거래자의 기대와 다른 토큰의 가치에 의존한다. 가격이 떨어질 때 공급을 줄이거나 보상 토큰을 발행하는 규칙은 작은 충격에는 작동할 수 있다. 신뢰가 동시에 무너지면 새 토큰을 발행할수록 가격이 더 떨어지는 죽음의 소용돌이가 생긴다. ‘코드가 자동으로 안정시킨다’는 문장은 최종 손실 흡수자가 누구인지 답하지 않는다.</w:t>
      </w:r>
    </w:p>
    <w:p>
      <w:pPr>
        <w:pStyle w:val="aff3"/>
        <w:spacing w:line="259" w:lineRule="auto"/>
      </w:pPr>
      <w:r>
        <w:rPr>
          <w:rFonts w:ascii="KoPubWorld바탕체_Pro Light" w:hAnsi="KoPubWorld바탕체_Pro Light" w:eastAsia="KoPubWorld바탕체_Pro Light" w:cs="KoPubWorld바탕체_Pro Light"/>
          <w:sz w:val="16"/>
        </w:rPr>
        <w:t>준비형도 런에서 자유롭지 않다. 상환 요청에 대비해 자산을 급히 팔면 시장가격이 떨어지고, 남은 준비금의 가치가 더 낮아져 다음 보유자의 인출을 재촉한다. 발행자에게는 개별 유동성 문제지만 준비자산이 은행예금과 국채에 집중되면 금융시장 전체의 매도 압력이 된다. 유동성 완충과 상환 순서, 비상계획은 코인 내부 규칙을 넘어선다.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유럽이 나눈 자산준거와 전자화폐</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MiCA는 스테이블코인을 자산준거토큰과 전자화폐토큰으로 나누었다. 하나의 공식 통화 가치를 참조하는 전자화폐토큰과 여러 통화·자산 또는 권리의 조합을 참조하는 자산준거토큰에 각각 발행자 인가, 백서, 준비자산과 상환, 지배구조 규칙을 둔다. 이 부분은 2024년 6월 30일부터 적용되었다.</w:t>
      </w:r>
      <w:r>
        <w:rPr>
          <w:rFonts w:ascii="KoPubWorld바탕체_Pro Light" w:hAnsi="KoPubWorld바탕체_Pro Light" w:eastAsia="KoPubWorld바탕체_Pro Light" w:cs="KoPubWorld바탕체_Pro Light"/>
          <w:sz w:val="14"/>
          <w:vertAlign w:val="superscript"/>
        </w:rPr>
        <w:t>195</w:t>
      </w:r>
    </w:p>
    <w:p>
      <w:pPr>
        <w:pStyle w:val="aff3"/>
        <w:spacing w:line="259" w:lineRule="auto"/>
      </w:pPr>
      <w:r>
        <w:rPr>
          <w:rFonts w:ascii="KoPubWorld바탕체_Pro Light" w:hAnsi="KoPubWorld바탕체_Pro Light" w:eastAsia="KoPubWorld바탕체_Pro Light" w:cs="KoPubWorld바탕체_Pro Light"/>
          <w:sz w:val="16"/>
        </w:rPr>
        <w:t>이 구분은 단순한 이름표가 아니다. 단일 통화에 연동된 토큰은 지급수단과 통화의 단일성에 더 가까운 영향을 주고, 여러 자산을 참조하는 토큰은 집합적 준비자산과 투자상품의 성격이 강하다. 중요한 토큰에는 더 높은 자본·유동성과 감독이 붙는다. 규모와 이용 범위가 커질수록 개별 소비자보호를 넘어 결제와 금융안정 위험이 커지기 때문이다.</w:t>
      </w:r>
    </w:p>
    <w:p>
      <w:pPr>
        <w:pStyle w:val="aff3"/>
        <w:spacing w:line="259" w:lineRule="auto"/>
      </w:pPr>
      <w:r>
        <w:rPr>
          <w:rFonts w:ascii="KoPubWorld바탕체_Pro Light" w:hAnsi="KoPubWorld바탕체_Pro Light" w:eastAsia="KoPubWorld바탕체_Pro Light" w:cs="KoPubWorld바탕체_Pro Light"/>
          <w:sz w:val="16"/>
        </w:rPr>
        <w:t>MiCA의 규칙은 유럽 안에서 발행자와 서비스사업자의 책임을 분명히 하지만 국경 밖 토큰의 유통 문제를 완전히 없애지 않는다. 온라인 지갑은 다른 관할의 토큰을 쉽게 담고, 탈중앙화 거래에서는 발행자 인가와 유통 접점을 분리하기 어렵다. 준비자산이 한 나라 은행과 국채에 집중되면 스테이블코인런이 전통 금융시장으로 전해질 수도 있다.</w:t>
      </w:r>
    </w:p>
    <w:p>
      <w:pPr>
        <w:pStyle w:val="aff3"/>
        <w:spacing w:line="259" w:lineRule="auto"/>
      </w:pPr>
      <w:r>
        <w:rPr>
          <w:rFonts w:ascii="KoPubWorld바탕체_Pro Light" w:hAnsi="KoPubWorld바탕체_Pro Light" w:eastAsia="KoPubWorld바탕체_Pro Light" w:cs="KoPubWorld바탕체_Pro Light"/>
          <w:sz w:val="16"/>
        </w:rPr>
        <w:t>금융안정위원회는 2023년 글로벌 스테이블코인에 대해 포괄적 감독권, 국경 간 협력, 명확한 지배구조와 위험관리, 데이터 접근, 효과적인 상환권과 안정화 장치를 요구하는 고위급 권고를 확정했다.</w:t>
      </w:r>
      <w:r>
        <w:rPr>
          <w:rFonts w:ascii="KoPubWorld바탕체_Pro Light" w:hAnsi="KoPubWorld바탕체_Pro Light" w:eastAsia="KoPubWorld바탕체_Pro Light" w:cs="KoPubWorld바탕체_Pro Light"/>
          <w:sz w:val="14"/>
          <w:vertAlign w:val="superscript"/>
        </w:rPr>
        <w:t>198</w:t>
      </w:r>
      <w:r>
        <w:rPr>
          <w:rFonts w:ascii="KoPubWorld바탕체_Pro Light" w:hAnsi="KoPubWorld바탕체_Pro Light" w:eastAsia="KoPubWorld바탕체_Pro Light" w:cs="KoPubWorld바탕체_Pro Light"/>
          <w:sz w:val="16"/>
        </w:rPr>
        <w:t xml:space="preserve"> ‘글로벌’이라는 수식어는 코인의 국적보다 여러 관할에서 결제와 가치저장 기능을 수행해 시스템 영향을 줄 가능성을 가리킨다.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한국에서 아직 정해지지 않은 것</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한국의 가상자산 이용자보호법은 고객자산 보관과 불공정거래의 바닥을 만들었지만 스테이블코인 발행 인가, 준비자산, 상환청구권과 통화정책상의 역할을 완성하지 않았다.</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6"/>
        </w:rPr>
        <w:t xml:space="preserve"> 이 쟁점은 가칭 디지털자산기본법, 이른바 2단계법의 논의 대상이다.</w:t>
      </w:r>
    </w:p>
    <w:p>
      <w:pPr>
        <w:pStyle w:val="aff3"/>
        <w:spacing w:line="259" w:lineRule="auto"/>
      </w:pPr>
      <w:r>
        <w:rPr>
          <w:rFonts w:ascii="KoPubWorld바탕체_Pro Light" w:hAnsi="KoPubWorld바탕체_Pro Light" w:eastAsia="KoPubWorld바탕체_Pro Light" w:cs="KoPubWorld바탕체_Pro Light"/>
          <w:sz w:val="16"/>
        </w:rPr>
        <w:t>2026년 1월 금융위원회는 원화 스테이블코인의 발행 주체를 은행 중심 컨소시엄으로 확정했다는 보도에 대해, 발행자와 주주 구성 등 주요 내용이 정해지지 않았다고 설명했다.</w:t>
      </w:r>
      <w:r>
        <w:rPr>
          <w:rFonts w:ascii="KoPubWorld바탕체_Pro Light" w:hAnsi="KoPubWorld바탕체_Pro Light" w:eastAsia="KoPubWorld바탕체_Pro Light" w:cs="KoPubWorld바탕체_Pro Light"/>
          <w:sz w:val="14"/>
          <w:vertAlign w:val="superscript"/>
        </w:rPr>
        <w:t>193</w:t>
      </w:r>
      <w:r>
        <w:rPr>
          <w:rFonts w:ascii="KoPubWorld바탕체_Pro Light" w:hAnsi="KoPubWorld바탕체_Pro Light" w:eastAsia="KoPubWorld바탕체_Pro Light" w:cs="KoPubWorld바탕체_Pro Light"/>
          <w:sz w:val="14"/>
          <w:vertAlign w:val="superscript"/>
        </w:rPr>
        <w:t>194</w:t>
      </w:r>
      <w:r>
        <w:rPr>
          <w:rFonts w:ascii="KoPubWorld바탕체_Pro Light" w:hAnsi="KoPubWorld바탕체_Pro Light" w:eastAsia="KoPubWorld바탕체_Pro Light" w:cs="KoPubWorld바탕체_Pro Light"/>
          <w:sz w:val="16"/>
        </w:rPr>
        <w:t xml:space="preserve"> 2026년 3월 가상자산위원회에서는 은행 중심 발행안과 거래소 소유 분산 등 여러 쟁점이 정부 검토안의 의견수렴 대상으로 논의됐다.</w:t>
      </w:r>
      <w:r>
        <w:rPr>
          <w:rFonts w:ascii="KoPubWorld바탕체_Pro Light" w:hAnsi="KoPubWorld바탕체_Pro Light" w:eastAsia="KoPubWorld바탕체_Pro Light" w:cs="KoPubWorld바탕체_Pro Light"/>
          <w:sz w:val="14"/>
          <w:vertAlign w:val="superscript"/>
        </w:rPr>
        <w:t>192</w:t>
      </w:r>
    </w:p>
    <w:p>
      <w:pPr>
        <w:pStyle w:val="aff3"/>
        <w:spacing w:line="259" w:lineRule="auto"/>
      </w:pPr>
      <w:r>
        <w:rPr>
          <w:rFonts w:ascii="KoPubWorld바탕체_Pro Light" w:hAnsi="KoPubWorld바탕체_Pro Light" w:eastAsia="KoPubWorld바탕체_Pro Light" w:cs="KoPubWorld바탕체_Pro Light"/>
          <w:sz w:val="16"/>
        </w:rPr>
        <w:t>따라서 2026년 7월 12일 현재 특정 지분 비율이나 발행 주체를 한국의 시행 규칙으로 서술할 수 없다. 논의가 존재한다는 사실, 정부 검토안이 공개적으로 다뤄졌다는 사실과 법률이 제정·시행됐다는 사실은 다르다. 입법 공백을 과장해 ‘아무 규제도 없다’고 말해서도 안 되고, 정책 방향을 현행법처럼 앞당겨 써서도 안 된다.</w:t>
      </w:r>
      <w:r>
        <w:rPr>
          <w:rFonts w:ascii="KoPubWorld바탕체_Pro Light" w:hAnsi="KoPubWorld바탕체_Pro Light" w:eastAsia="KoPubWorld바탕체_Pro Light" w:cs="KoPubWorld바탕체_Pro Light"/>
          <w:sz w:val="14"/>
          <w:vertAlign w:val="superscript"/>
        </w:rPr>
        <w:t>193</w:t>
      </w:r>
      <w:r>
        <w:rPr>
          <w:rFonts w:ascii="KoPubWorld바탕체_Pro Light" w:hAnsi="KoPubWorld바탕체_Pro Light" w:eastAsia="KoPubWorld바탕체_Pro Light" w:cs="KoPubWorld바탕체_Pro Light"/>
          <w:sz w:val="14"/>
          <w:vertAlign w:val="superscript"/>
        </w:rPr>
        <w:t>192</w:t>
      </w:r>
    </w:p>
    <w:p>
      <w:pPr>
        <w:pStyle w:val="aff3"/>
        <w:spacing w:line="259" w:lineRule="auto"/>
      </w:pPr>
      <w:r>
        <w:rPr>
          <w:rFonts w:ascii="KoPubWorld바탕체_Pro Light" w:hAnsi="KoPubWorld바탕체_Pro Light" w:eastAsia="KoPubWorld바탕체_Pro Light" w:cs="KoPubWorld바탕체_Pro Light"/>
          <w:sz w:val="16"/>
        </w:rPr>
        <w:t>발행자 논쟁의 본질은 혁신기업 대 은행의 기득권만이 아니다. 은행은 건전성 규제, 예금보험과 중앙은행 결제에 이미 연결되어 있어 상환 신뢰를 제공할 수 있다. 비은행 기술기업은 더 빠른 서비스와 경쟁을 만들 수 있지만 준비자산과 유동성에 별도 규율이 필요하다. 은행만 허용하면 혁신과 경쟁이 줄 수 있고, 누구나 허용하면 통화와 결제의 안전판이 약해질 수 있다.</w:t>
      </w:r>
    </w:p>
    <w:p>
      <w:pPr>
        <w:pStyle w:val="aff3"/>
        <w:spacing w:line="259" w:lineRule="auto"/>
      </w:pPr>
      <w:r>
        <w:rPr>
          <w:rFonts w:ascii="KoPubWorld바탕체_Pro Light" w:hAnsi="KoPubWorld바탕체_Pro Light" w:eastAsia="KoPubWorld바탕체_Pro Light" w:cs="KoPubWorld바탕체_Pro Light"/>
          <w:sz w:val="16"/>
        </w:rPr>
        <w:t>외환 규율도 중요하다. 원화 연동 토큰이 국경 밖에서 대규모로 유통되면 자본 이동과 외환거래의 경계를 바꾼다. 해외 달러 스테이블코인이 국내 결제와 저축에 널리 쓰이면 통화주권과 자금세탁 위험이 커진다. 발행 규제만이 아니라 거래소, 지갑, 해외 상환과 준비자산의 소재지를 함께 보아야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중앙은행의 디지털 부채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중앙은행 디지털화폐, CBDC는 중앙은행이 발행하는 새로운 형태의 화폐다. 한국은행은 2020년 이후 연구·개발을 본격화했지만 CBDC 도입 여부와 시기는 아직 결정하지 않았다고 밝히고 있다.</w:t>
      </w:r>
      <w:r>
        <w:rPr>
          <w:rFonts w:ascii="KoPubWorld바탕체_Pro Light" w:hAnsi="KoPubWorld바탕체_Pro Light" w:eastAsia="KoPubWorld바탕체_Pro Light" w:cs="KoPubWorld바탕체_Pro Light"/>
          <w:sz w:val="14"/>
          <w:vertAlign w:val="superscript"/>
        </w:rPr>
        <w:t>199</w:t>
      </w:r>
      <w:r>
        <w:rPr>
          <w:rFonts w:ascii="KoPubWorld바탕체_Pro Light" w:hAnsi="KoPubWorld바탕체_Pro Light" w:eastAsia="KoPubWorld바탕체_Pro Light" w:cs="KoPubWorld바탕체_Pro Light"/>
          <w:sz w:val="16"/>
        </w:rPr>
        <w:t xml:space="preserve"> 연구와 파일럿을 ‘도입 결정’으로 읽지 않아야 한다.</w:t>
      </w:r>
    </w:p>
    <w:p>
      <w:pPr>
        <w:pStyle w:val="aff3"/>
        <w:spacing w:line="259" w:lineRule="auto"/>
      </w:pPr>
      <w:r>
        <w:rPr>
          <w:rFonts w:ascii="KoPubWorld바탕체_Pro Light" w:hAnsi="KoPubWorld바탕체_Pro Light" w:eastAsia="KoPubWorld바탕체_Pro Light" w:cs="KoPubWorld바탕체_Pro Light"/>
          <w:sz w:val="16"/>
        </w:rPr>
        <w:t>중앙은행 직접 부채라는 안전성은 개인정보 문제를 없애지 않는다. 중앙은행, 중개은행과 지갑사업자 가운데 누가 거래내역을 볼 수 있는지, 법 집행기관의 접근은 어떤 영장과 절차를 요구하는지 정해야 한다. 현금 수준의 완전한 익명성과 자금세탁방지를 동시에 달성하기는 어렵다. 소액과 고액, 온라인과 오프라인에 차등 프라이버시를 둘 수 있지만 그 경계는 공개된 법으로 정해야 한다.</w:t>
      </w:r>
    </w:p>
    <w:p>
      <w:pPr>
        <w:pStyle w:val="aff3"/>
        <w:spacing w:line="259" w:lineRule="auto"/>
      </w:pPr>
      <w:r>
        <w:rPr>
          <w:rFonts w:ascii="KoPubWorld바탕체_Pro Light" w:hAnsi="KoPubWorld바탕체_Pro Light" w:eastAsia="KoPubWorld바탕체_Pro Light" w:cs="KoPubWorld바탕체_Pro Light"/>
          <w:sz w:val="16"/>
        </w:rPr>
        <w:t>오프라인 CBDC는 통신장애와 디지털 소외의 대안이 될 수 있으나 이중지불과 분실 복구가 어려워진다. 기기 안의 한도, 재접속 때의 대사와 부정사용 책임을 설계해야 한다. 기술 실험은 곧 권리와 손실 규칙의 실험이다.</w:t>
      </w:r>
    </w:p>
    <w:p>
      <w:pPr>
        <w:pStyle w:val="aff3"/>
        <w:spacing w:line="259" w:lineRule="auto"/>
      </w:pPr>
      <w:r>
        <w:rPr>
          <w:rFonts w:ascii="KoPubWorld바탕체_Pro Light" w:hAnsi="KoPubWorld바탕체_Pro Light" w:eastAsia="KoPubWorld바탕체_Pro Light" w:cs="KoPubWorld바탕체_Pro Light"/>
          <w:sz w:val="16"/>
        </w:rPr>
        <w:t>CBDC에는 누구나 쓰는 범용형과 금융기관이 주로 쓰는 기관용이 있다. 범용 CBDC는 현금과 비슷한 중앙은행 직접 부채를 디지털 지갑에 담는 구상이다. 안전자산 접근과 결제 경쟁을 넓힐 수 있지만 예금이 중앙은행으로 빠르게 이동해 은행의 자금조달을 흔들 수 있다. 개인정보, 오프라인 접근과 디지털 소외 문제도 크다.</w:t>
      </w:r>
    </w:p>
    <w:p>
      <w:pPr>
        <w:pStyle w:val="aff3"/>
        <w:spacing w:line="259" w:lineRule="auto"/>
      </w:pPr>
      <w:r>
        <w:rPr>
          <w:rFonts w:ascii="KoPubWorld바탕체_Pro Light" w:hAnsi="KoPubWorld바탕체_Pro Light" w:eastAsia="KoPubWorld바탕체_Pro Light" w:cs="KoPubWorld바탕체_Pro Light"/>
          <w:sz w:val="16"/>
        </w:rPr>
        <w:t>기관용 CBDC는 중앙은행 준비금을 토큰화된 플랫폼에서 결제자산으로 쓰는 데 가깝다. 일반 이용자는 중앙은행 계좌를 직접 갖지 않고 은행 예금토큰 등을 사용한다. 이 구조는 현행의 중앙은행-상업은행 이층 통화체계를 유지하면서 스마트계약과 원자적 결제를 시험할 수 있다.</w:t>
      </w:r>
    </w:p>
    <w:p>
      <w:pPr>
        <w:pStyle w:val="aff3"/>
        <w:spacing w:line="259" w:lineRule="auto"/>
      </w:pPr>
      <w:r>
        <w:rPr>
          <w:rFonts w:ascii="KoPubWorld바탕체_Pro Light" w:hAnsi="KoPubWorld바탕체_Pro Light" w:eastAsia="KoPubWorld바탕체_Pro Light" w:cs="KoPubWorld바탕체_Pro Light"/>
          <w:sz w:val="16"/>
        </w:rPr>
        <w:t>한국은행은 2023년 금융위원회·금융감독원과 ‘프로젝트 한강’을 발표해 기관용 디지털화폐를 기반으로 예금토큰 등 민간 디지털통화를 지원하는 시험 인프라를 구축했다. 2025년 4월부터 6월까지 7개 은행과 최대 10만 명의 참가자를 대상으로 실제 환경에서 예금토큰과 바우처 활용을 시험했다.</w:t>
      </w:r>
      <w:r>
        <w:rPr>
          <w:rFonts w:ascii="KoPubWorld바탕체_Pro Light" w:hAnsi="KoPubWorld바탕체_Pro Light" w:eastAsia="KoPubWorld바탕체_Pro Light" w:cs="KoPubWorld바탕체_Pro Light"/>
          <w:sz w:val="14"/>
          <w:vertAlign w:val="superscript"/>
        </w:rPr>
        <w:t>199</w:t>
      </w:r>
      <w:r>
        <w:rPr>
          <w:rFonts w:ascii="KoPubWorld바탕체_Pro Light" w:hAnsi="KoPubWorld바탕체_Pro Light" w:eastAsia="KoPubWorld바탕체_Pro Light" w:cs="KoPubWorld바탕체_Pro Light"/>
          <w:sz w:val="14"/>
          <w:vertAlign w:val="superscript"/>
        </w:rPr>
        <w:t>200</w:t>
      </w:r>
    </w:p>
    <w:p>
      <w:pPr>
        <w:pStyle w:val="aff3"/>
        <w:spacing w:line="259" w:lineRule="auto"/>
      </w:pPr>
      <w:r>
        <w:rPr>
          <w:rFonts w:ascii="KoPubWorld바탕체_Pro Light" w:hAnsi="KoPubWorld바탕체_Pro Light" w:eastAsia="KoPubWorld바탕체_Pro Light" w:cs="KoPubWorld바탕체_Pro Light"/>
          <w:sz w:val="16"/>
        </w:rPr>
        <w:t>한국은행은 2026년 3월 프로젝트 한강 2단계 추진을 발표했고, 같은 해 7월에는 1단계 경험을 정리한 자료를 공개했다.</w:t>
      </w:r>
      <w:r>
        <w:rPr>
          <w:rFonts w:ascii="KoPubWorld바탕체_Pro Light" w:hAnsi="KoPubWorld바탕체_Pro Light" w:eastAsia="KoPubWorld바탕체_Pro Light" w:cs="KoPubWorld바탕체_Pro Light"/>
          <w:sz w:val="14"/>
          <w:vertAlign w:val="superscript"/>
        </w:rPr>
        <w:t>201</w:t>
      </w:r>
      <w:r>
        <w:rPr>
          <w:rFonts w:ascii="KoPubWorld바탕체_Pro Light" w:hAnsi="KoPubWorld바탕체_Pro Light" w:eastAsia="KoPubWorld바탕체_Pro Light" w:cs="KoPubWorld바탕체_Pro Light"/>
          <w:sz w:val="14"/>
          <w:vertAlign w:val="superscript"/>
        </w:rPr>
        <w:t>202</w:t>
      </w:r>
      <w:r>
        <w:rPr>
          <w:rFonts w:ascii="KoPubWorld바탕체_Pro Light" w:hAnsi="KoPubWorld바탕체_Pro Light" w:eastAsia="KoPubWorld바탕체_Pro Light" w:cs="KoPubWorld바탕체_Pro Light"/>
          <w:sz w:val="16"/>
        </w:rPr>
        <w:t xml:space="preserve"> 이는 기술·운영 실험의 진전이다. 그러나 한국은행의 공식 안내가 여전히 도입 여부와 시기를 결정하지 않았다고 밝힌 만큼 상용화 확정과는 구별해야 한다.</w:t>
      </w:r>
      <w:r>
        <w:rPr>
          <w:rFonts w:ascii="KoPubWorld바탕체_Pro Light" w:hAnsi="KoPubWorld바탕체_Pro Light" w:eastAsia="KoPubWorld바탕체_Pro Light" w:cs="KoPubWorld바탕체_Pro Light"/>
          <w:sz w:val="14"/>
          <w:vertAlign w:val="superscript"/>
        </w:rPr>
        <w:t>199</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예금이 토큰이 되어도 예금인가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예금토큰은 상업은행 예금에 대한 청구권을 토큰 형태로 표시한다. 고객이 은행 앱에서 예금을 토큰으로 전환해 결제하더라도 발행 책임은 은행에 있고, 액면 동일성과 건전성 규제의 틀을 이어받는다는 구상이다. 프로젝트 한강에서는 기관용 디지털화폐를 중심에 두고 은행의 예금토큰을 지원했다.</w:t>
      </w:r>
      <w:r>
        <w:rPr>
          <w:rFonts w:ascii="KoPubWorld바탕체_Pro Light" w:hAnsi="KoPubWorld바탕체_Pro Light" w:eastAsia="KoPubWorld바탕체_Pro Light" w:cs="KoPubWorld바탕체_Pro Light"/>
          <w:sz w:val="14"/>
          <w:vertAlign w:val="superscript"/>
        </w:rPr>
        <w:t>199</w:t>
      </w:r>
    </w:p>
    <w:p>
      <w:pPr>
        <w:pStyle w:val="aff3"/>
        <w:spacing w:line="259" w:lineRule="auto"/>
      </w:pPr>
      <w:r>
        <w:rPr>
          <w:rFonts w:ascii="KoPubWorld바탕체_Pro Light" w:hAnsi="KoPubWorld바탕체_Pro Light" w:eastAsia="KoPubWorld바탕체_Pro Light" w:cs="KoPubWorld바탕체_Pro Light"/>
          <w:sz w:val="16"/>
        </w:rPr>
        <w:t>이 구조의 장점은 기존의 신뢰 장치를 버리지 않고 프로그래밍 기능을 얻는 데 있다. 자산과 돈을 같은 플랫폼에서 동시에 이전하면 한쪽만 이행되는 결제위험을 줄일 수 있다. 용도가 정해진 바우처는 조건을 자동으로 확인하고 정산 비용을 낮출 수 있다. 기업 간 거래에서는 서류와 지급을 연결할 가능성이 있다.</w:t>
      </w:r>
    </w:p>
    <w:p>
      <w:pPr>
        <w:pStyle w:val="aff3"/>
        <w:spacing w:line="259" w:lineRule="auto"/>
      </w:pPr>
      <w:r>
        <w:rPr>
          <w:rFonts w:ascii="KoPubWorld바탕체_Pro Light" w:hAnsi="KoPubWorld바탕체_Pro Light" w:eastAsia="KoPubWorld바탕체_Pro Light" w:cs="KoPubWorld바탕체_Pro Light"/>
          <w:sz w:val="16"/>
        </w:rPr>
        <w:t>반면 ‘프로그래밍 가능한 돈’과 ‘프로그래밍 가능한 지급’을 구별해야 한다. 돈 자체에 사용처와 기한을 새기면 정책 효율은 높아질 수 있지만 소유자의 선택과 익명성이 줄어든다. 플랫폼의 운영자가 거래 조건을 바꾸거나 계정을 동결할 권한을 가지면 기술적 편의가 통제력으로 바뀐다. 법적 근거, 이의제기와 대체 결제수단이 필요하다.</w:t>
      </w:r>
    </w:p>
    <w:p>
      <w:pPr>
        <w:pStyle w:val="aff3"/>
        <w:spacing w:line="259" w:lineRule="auto"/>
      </w:pPr>
      <w:r>
        <w:rPr>
          <w:rFonts w:ascii="KoPubWorld바탕체_Pro Light" w:hAnsi="KoPubWorld바탕체_Pro Light" w:eastAsia="KoPubWorld바탕체_Pro Light" w:cs="KoPubWorld바탕체_Pro Light"/>
          <w:sz w:val="16"/>
        </w:rPr>
        <w:t>토큰화 예금의 도산 처리도 분명해야 한다. 기존 예금과 같은 청구권인지, 별도 원장 장애 때 권리를 어떻게 증명하는지, 예금보험과 지급준비가 동일하게 적용되는지를 법과 계약이 맞춰야 한다. 코드가 토큰을 소각하거나 중복 발행했을 때 은행 장부와 분산원장 중 무엇이 최종 기록인지 정해야 한다.</w:t>
      </w:r>
    </w:p>
    <w:p>
      <w:pPr>
        <w:spacing w:before="120" w:after="0"/>
      </w:pPr>
    </w:p>
    <w:p>
      <w:pPr>
        <w:pStyle w:val="aff4"/>
        <w:keepNext/>
        <w:jc w:val="left"/>
      </w:pPr>
      <w:r>
        <w:rPr>
          <w:rFonts w:ascii="Noto Sans CJK KR" w:hAnsi="Noto Sans CJK KR" w:eastAsia="Noto Sans CJK KR" w:cs="Noto Sans CJK KR"/>
          <w:b/>
          <w:sz w:val="20"/>
        </w:rPr>
        <w:t>아고라가 시험한 국경 간 장부</w:t>
      </w:r>
    </w:p>
    <w:p>
      <w:pPr>
        <w:pStyle w:val="aff3"/>
        <w:spacing w:line="259" w:lineRule="auto"/>
      </w:pPr>
      <w:r>
        <w:rPr>
          <w:rFonts w:ascii="KoPubWorld바탕체_Pro Light" w:hAnsi="KoPubWorld바탕체_Pro Light" w:eastAsia="KoPubWorld바탕체_Pro Light" w:cs="KoPubWorld바탕체_Pro Light"/>
          <w:sz w:val="16"/>
        </w:rPr>
        <w:t>국제결제은행과 여러 중앙은행은 2024년 4월 프로젝트 아고라를 시작해 토큰화된 상업은행 예금과 기관용 중앙은행 화폐를 공통의 프로그래밍 가능 플랫폼에서 결합하는 방안을 연구했다. 한국은행도 참가 중앙은행 중 하나였다.</w:t>
      </w:r>
      <w:r>
        <w:rPr>
          <w:rFonts w:ascii="KoPubWorld바탕체_Pro Light" w:hAnsi="KoPubWorld바탕체_Pro Light" w:eastAsia="KoPubWorld바탕체_Pro Light" w:cs="KoPubWorld바탕체_Pro Light"/>
          <w:sz w:val="14"/>
          <w:vertAlign w:val="superscript"/>
        </w:rPr>
        <w:t>203</w:t>
      </w:r>
    </w:p>
    <w:p>
      <w:pPr>
        <w:pStyle w:val="aff3"/>
        <w:spacing w:line="259" w:lineRule="auto"/>
      </w:pPr>
      <w:r>
        <w:rPr>
          <w:rFonts w:ascii="KoPubWorld바탕체_Pro Light" w:hAnsi="KoPubWorld바탕체_Pro Light" w:eastAsia="KoPubWorld바탕체_Pro Light" w:cs="KoPubWorld바탕체_Pro Light"/>
          <w:sz w:val="16"/>
        </w:rPr>
        <w:t>2026년 5월 공개된 결과에서 아고라는 여덟 중앙은행과 40개가 넘는 금융기관이 참여한 프로토타입으로 발전했다. 토큰화 예금과 중앙은행 준비금을 결합한 다통화 원자적 결제, 조건부·상시 지급과 준법 요건의 내장 가능성을 보였고, 실제 가치 거래를 포함한 추가 시험으로 나아갈 계획을 밝혔다.</w:t>
      </w:r>
      <w:r>
        <w:rPr>
          <w:rFonts w:ascii="KoPubWorld바탕체_Pro Light" w:hAnsi="KoPubWorld바탕체_Pro Light" w:eastAsia="KoPubWorld바탕체_Pro Light" w:cs="KoPubWorld바탕체_Pro Light"/>
          <w:sz w:val="14"/>
          <w:vertAlign w:val="superscript"/>
        </w:rPr>
        <w:t>204</w:t>
      </w:r>
      <w:r>
        <w:rPr>
          <w:rFonts w:ascii="KoPubWorld바탕체_Pro Light" w:hAnsi="KoPubWorld바탕체_Pro Light" w:eastAsia="KoPubWorld바탕체_Pro Light" w:cs="KoPubWorld바탕체_Pro Light"/>
          <w:sz w:val="16"/>
        </w:rPr>
        <w:t xml:space="preserve"> 완성된 국제 결제망의 출범이 아니라 기술·법적 타당성을 평가하는 프로토타입이라는 점이 중요하다.</w:t>
      </w:r>
    </w:p>
    <w:p>
      <w:pPr>
        <w:pStyle w:val="aff3"/>
        <w:spacing w:line="259" w:lineRule="auto"/>
      </w:pPr>
      <w:r>
        <w:rPr>
          <w:rFonts w:ascii="KoPubWorld바탕체_Pro Light" w:hAnsi="KoPubWorld바탕체_Pro Light" w:eastAsia="KoPubWorld바탕체_Pro Light" w:cs="KoPubWorld바탕체_Pro Light"/>
          <w:sz w:val="16"/>
        </w:rPr>
        <w:t>국경 간 결제의 문제는 속도만이 아니다. 자금세탁방지, 제재, 외환 신고, 데이터의 국외 이전과 결제완결성 법이 국가마다 다르다. 스마트계약이 여러 검사를 자동화할 수 있지만 어느 법의 판정이 최종인지 스스로 정하지 못한다. 공유 플랫폼일수록 기술보다 거버넌스와 관할의 합의가 어려운 이유다.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발행권은 손실 부담의 설계다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스테이블코인, CBDC와 예금토큰의 경쟁을 ‘누가 더 혁신적인가’로만 보면 핵심을 놓친다. 발행권은 액면 약속이 깨질 때의 손실 부담을 정하는 권한이다. 민간 발행자는 준비자산과 자본으로, 은행은 자본·유동성·예금보험과 중앙은행 결제로, 중앙은행은 국가 통화에 대한 최종 책임으로 신뢰를 만든다.</w:t>
      </w:r>
    </w:p>
    <w:p>
      <w:pPr>
        <w:pStyle w:val="aff3"/>
        <w:spacing w:line="259" w:lineRule="auto"/>
      </w:pPr>
      <w:r>
        <w:rPr>
          <w:rFonts w:ascii="KoPubWorld바탕체_Pro Light" w:hAnsi="KoPubWorld바탕체_Pro Light" w:eastAsia="KoPubWorld바탕체_Pro Light" w:cs="KoPubWorld바탕체_Pro Light"/>
          <w:sz w:val="16"/>
        </w:rPr>
        <w:t>그 신뢰 장치의 비용도 비교해야 한다. CBDC의 안전성은 중앙은행의 운영·사이버 부담과 은행 예금 이동 위험을 낳고, 예금토큰은 은행 규제와 보험료를 부담하며, 스테이블코인은 준비금과 감사·상환 인프라를 따로 세워야 한다. 수수료가 낮다는 표면만으로 어느 돈이 더 효율적인지 판단할 수 없다.</w:t>
      </w:r>
    </w:p>
    <w:p>
      <w:pPr>
        <w:pStyle w:val="aff3"/>
        <w:spacing w:line="259" w:lineRule="auto"/>
      </w:pPr>
      <w:r>
        <w:rPr>
          <w:rFonts w:ascii="KoPubWorld바탕체_Pro Light" w:hAnsi="KoPubWorld바탕체_Pro Light" w:eastAsia="KoPubWorld바탕체_Pro Light" w:cs="KoPubWorld바탕체_Pro Light"/>
          <w:sz w:val="16"/>
        </w:rPr>
        <w:t>하나의 형태가 모든 목적에 가장 좋을 필요도 없다. 소액 일상결제, 국제 기업결제, 디지털자산 매매와 정책 바우처는 필요한 익명성·속도·되돌림과 법적 완결성이 다르다. 상호운용 가능한 여러 수단을 두되 이용자가 발행자와 보호 수준을 명확히 알게 하는 편이 나을 수 있다.</w:t>
      </w:r>
    </w:p>
    <w:p>
      <w:pPr>
        <w:pStyle w:val="aff3"/>
        <w:spacing w:line="259" w:lineRule="auto"/>
      </w:pPr>
      <w:r>
        <w:rPr>
          <w:rFonts w:ascii="KoPubWorld바탕체_Pro Light" w:hAnsi="KoPubWorld바탕체_Pro Light" w:eastAsia="KoPubWorld바탕체_Pro Light" w:cs="KoPubWorld바탕체_Pro Light"/>
          <w:sz w:val="16"/>
        </w:rPr>
        <w:t>좋은 디지털 화폐 규제는 ‘1’이라는 숫자 뒤를 보이게 한다. 준비자산은 어디에 있고 누가 감사하는가. 상환은 누구에게 언제 청구하는가. 운영자가 멈추면 기록과 자금은 어떻게 이전되는가. 개인정보와 거래조건을 누가 통제하는가. 이 질문에 답하지 못한 안정성은 인터페이스의 착시다.</w:t>
      </w:r>
    </w:p>
    <w:p>
      <w:pPr>
        <w:pStyle w:val="aff3"/>
        <w:spacing w:line="259" w:lineRule="auto"/>
      </w:pPr>
      <w:r>
        <w:rPr>
          <w:rFonts w:ascii="KoPubWorld바탕체_Pro Light" w:hAnsi="KoPubWorld바탕체_Pro Light" w:eastAsia="KoPubWorld바탕체_Pro Light" w:cs="KoPubWorld바탕체_Pro Light"/>
          <w:sz w:val="16"/>
        </w:rPr>
        <w:t>돈이 토큰이 되면 은행의 경계가 사라지는 것이 아니라 인프라로 이동한다. 발행자보다 클라우드와 원장 운영자가 더 중요한 단일 실패점이 될 수 있다. 다음 금융위기는 자본 부족이 아니라 공통 서비스의 정지에서 시작할지도 모른다. 규제의 시선은 대차대조표에서 코드, 데이터센터와 제3자 계약으로 넓어져야 한다.</w:t>
      </w:r>
    </w:p>
    <w:p>
      <w:pPr>
        <w:pStyle w:val="aff2"/>
        <w:pageBreakBefore/>
        <w:spacing w:before="440"/>
        <w:jc w:val="center"/>
      </w:pPr>
      <w:r>
        <w:rPr>
          <w:rFonts w:ascii="KoPubWorld바탕체_Pro Bold" w:hAnsi="KoPubWorld바탕체_Pro Bold" w:eastAsia="KoPubWorld바탕체_Pro Bold" w:cs="KoPubWorld바탕체_Pro Bold"/>
          <w:b/>
          <w:sz w:val="24"/>
        </w:rPr>
        <w:t>Chapter. 31</w:t>
      </w:r>
    </w:p>
    <w:p>
      <w:pPr>
        <w:pStyle w:val="aff1"/>
        <w:jc w:val="center"/>
      </w:pPr>
      <w:r>
        <w:rPr>
          <w:rFonts w:ascii="KoPubWorld바탕체_Pro Bold" w:hAnsi="KoPubWorld바탕체_Pro Bold" w:eastAsia="KoPubWorld바탕체_Pro Bold" w:cs="KoPubWorld바탕체_Pro Bold"/>
          <w:b/>
          <w:sz w:val="28"/>
        </w:rPr>
        <w:t>은행의 바깥이 은행을 멈출 때 - 클라우드, 사이버, DORA, 제3자 위험</w:t>
      </w:r>
    </w:p>
    <w:p>
      <w:pPr>
        <w:spacing w:before="60" w:after="0"/>
      </w:pPr>
    </w:p>
    <w:p>
      <w:pPr>
        <w:keepNext/>
        <w:jc w:val="center"/>
      </w:pPr>
      <w:r>
        <w:drawing>
          <wp:inline xmlns:a="http://schemas.openxmlformats.org/drawingml/2006/main" xmlns:pic="http://schemas.openxmlformats.org/drawingml/2006/picture">
            <wp:extent cx="3941063" cy="2627375"/>
            <wp:docPr id="18" name="Picture 18" descr="클라우드 장애를 가정한 금융 복원력 훈련. 은행 바깥의 서비스가 은행 전체를 멈출 수 있다." title="클라우드 장애를 가정한 금융 복원력 훈련. 은행 바깥의 서비스가 은행 전체를 멈출 수 있다."/>
            <wp:cNvGraphicFramePr>
              <a:graphicFrameLocks noChangeAspect="1"/>
            </wp:cNvGraphicFramePr>
            <a:graphic>
              <a:graphicData uri="http://schemas.openxmlformats.org/drawingml/2006/picture">
                <pic:pic>
                  <pic:nvPicPr>
                    <pic:cNvPr id="0" name="ch31_cloud_resilience_gray_q86.jpg"/>
                    <pic:cNvPicPr/>
                  </pic:nvPicPr>
                  <pic:blipFill>
                    <a:blip r:embed="rId54"/>
                    <a:stretch>
                      <a:fillRect/>
                    </a:stretch>
                  </pic:blipFill>
                  <pic:spPr>
                    <a:xfrm>
                      <a:off x="0" y="0"/>
                      <a:ext cx="3941063" cy="2627375"/>
                    </a:xfrm>
                    <a:prstGeom prst="rect"/>
                  </pic:spPr>
                </pic:pic>
              </a:graphicData>
            </a:graphic>
          </wp:inline>
        </w:drawing>
      </w:r>
    </w:p>
    <w:p>
      <w:pPr>
        <w:pStyle w:val="aff6"/>
        <w:jc w:val="center"/>
      </w:pPr>
      <w:r>
        <w:rPr>
          <w:rFonts w:ascii="Noto Sans CJK KR" w:hAnsi="Noto Sans CJK KR" w:eastAsia="Noto Sans CJK KR" w:cs="Noto Sans CJK KR"/>
          <w:sz w:val="17"/>
        </w:rPr>
        <w:t>그림 31. 클라우드 장애를 가정한 금융 복원력 훈련. 은행 바깥의 서비스가 은행 전체를 멈출 수 있다.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월요일 오전 9시, 은행의 자본비율은 어제와 같고 금고의 현금도 그대로다. 그런데 고객은 잔액을 볼 수 없고 카드 승인이 되지 않는다. 은행이 쓰는 인증 서비스나 클라우드의 한 구역이 멈췄기 때문이다. 대차대조표에는 손실이 아직 없지만 경제는 이미 불편을 겪는다. 급여가 이체되지 않고, 상점은 결제를 받지 못하며, 다른 은행의 콜센터까지 문의가 몰린다.</w:t>
      </w:r>
    </w:p>
    <w:p>
      <w:pPr>
        <w:pStyle w:val="aff3"/>
        <w:spacing w:line="259" w:lineRule="auto"/>
      </w:pPr>
      <w:r>
        <w:rPr>
          <w:rFonts w:ascii="KoPubWorld바탕체_Pro Light" w:hAnsi="KoPubWorld바탕체_Pro Light" w:eastAsia="KoPubWorld바탕체_Pro Light" w:cs="KoPubWorld바탕체_Pro Light"/>
          <w:sz w:val="16"/>
        </w:rPr>
        <w:t>20세기 금융규제는 자본과 유동성을 쌓아 손실과 뱅크런을 견디게 했다. 디지털 금융에서는 충분한 자본을 가진 은행도 운영이 멈추면 약속을 이행할 수 없다. 운영복원력은 사고를 완전히 막겠다는 약속이 아니다. 중요한 업무가 어떤 충격을 받아도 허용 가능한 범위 안에서 계속되고, 중단되더라도 정해진 시간 안에 복구되게 하는 능력이다.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사고를 없애는 대신 견디는 법</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사이버 공격, 소프트웨어 오류, 전력·통신 장애, 자연재해와 감염병은 원인이 다르다. 결과는 비슷할 수 있다. 고객 인증이 끊기고 거래 기록이 어긋나며 결제와 시장 기능이 멈춘다. 원인별 체크리스트만 만들면 예상하지 못한 사건에 취약하다. 그래서 운영복원력은 ‘어떤 사고인가’보다 ‘어떤 중요 업무가 얼마나 오래 중단되는가’를 먼저 본다.</w:t>
      </w:r>
    </w:p>
    <w:p>
      <w:pPr>
        <w:pStyle w:val="aff3"/>
        <w:spacing w:line="259" w:lineRule="auto"/>
      </w:pPr>
      <w:r>
        <w:rPr>
          <w:rFonts w:ascii="KoPubWorld바탕체_Pro Light" w:hAnsi="KoPubWorld바탕체_Pro Light" w:eastAsia="KoPubWorld바탕체_Pro Light" w:cs="KoPubWorld바탕체_Pro Light"/>
          <w:sz w:val="16"/>
        </w:rPr>
        <w:t>바젤은행감독위원회는 2021년 운영복원력 원칙을 발표해 은행이 중대한 운영 중단을 견디고 적응하며 회복할 수 있는 원칙 중심의 접근을 제시했다. 대상 충격에는 감염병, 사이버 사고, 기술 실패와 자연재해가 포함된다.</w:t>
      </w:r>
      <w:r>
        <w:rPr>
          <w:rFonts w:ascii="KoPubWorld바탕체_Pro Light" w:hAnsi="KoPubWorld바탕체_Pro Light" w:eastAsia="KoPubWorld바탕체_Pro Light" w:cs="KoPubWorld바탕체_Pro Light"/>
          <w:sz w:val="14"/>
          <w:vertAlign w:val="superscript"/>
        </w:rPr>
        <w:t>205</w:t>
      </w:r>
      <w:r>
        <w:rPr>
          <w:rFonts w:ascii="KoPubWorld바탕체_Pro Light" w:hAnsi="KoPubWorld바탕체_Pro Light" w:eastAsia="KoPubWorld바탕체_Pro Light" w:cs="KoPubWorld바탕체_Pro Light"/>
          <w:sz w:val="16"/>
        </w:rPr>
        <w:t xml:space="preserve"> 자본규제가 재무 충격을 흡수한다면 운영복원력은 업무 중단의 영향을 흡수한다.</w:t>
      </w:r>
    </w:p>
    <w:p>
      <w:pPr>
        <w:pStyle w:val="aff3"/>
        <w:spacing w:line="259" w:lineRule="auto"/>
      </w:pPr>
      <w:r>
        <w:rPr>
          <w:rFonts w:ascii="KoPubWorld바탕체_Pro Light" w:hAnsi="KoPubWorld바탕체_Pro Light" w:eastAsia="KoPubWorld바탕체_Pro Light" w:cs="KoPubWorld바탕체_Pro Light"/>
          <w:sz w:val="16"/>
        </w:rPr>
        <w:t>첫 단계는 중요 업무를 식별하는 일이다. 모든 내부 시스템을 똑같이 지킬 수는 없다. 소액 결제, 예금 인출, 증거금 납부와 긴급 고객지원처럼 중단이 금융안정이나 고객에게 큰 피해를 주는 서비스를 고른다. 다음으로 그 업무가 의존하는 사람, 데이터, 애플리케이션, 통신회선과 외부업체를 끝까지 지도에 그린다.</w:t>
      </w:r>
    </w:p>
    <w:p>
      <w:pPr>
        <w:pStyle w:val="aff3"/>
        <w:spacing w:line="259" w:lineRule="auto"/>
      </w:pPr>
      <w:r>
        <w:rPr>
          <w:rFonts w:ascii="KoPubWorld바탕체_Pro Light" w:hAnsi="KoPubWorld바탕체_Pro Light" w:eastAsia="KoPubWorld바탕체_Pro Light" w:cs="KoPubWorld바탕체_Pro Light"/>
          <w:sz w:val="16"/>
        </w:rPr>
        <w:t>그 뒤 ‘중단 허용도’를 정한다. 복구목표시간은 전산을 언제 다시 켤지 말하고, 중단 허용도는 고객과 시장에 어느 정도 피해까지 감당할 수 있는지를 묻는다. 백업 서버가 두 시간 만에 켜져도 그 사이 중복 이체와 대규모 연체가 생겼다면 복원력은 충분하지 않다. 심각하지만 가능성 있는 시나리오로 실제 업무를 시험해야 한다.</w:t>
      </w:r>
    </w:p>
    <w:p>
      <w:pPr>
        <w:pStyle w:val="aff3"/>
        <w:spacing w:line="259" w:lineRule="auto"/>
      </w:pPr>
      <w:r>
        <w:rPr>
          <w:rFonts w:ascii="KoPubWorld바탕체_Pro Light" w:hAnsi="KoPubWorld바탕체_Pro Light" w:eastAsia="KoPubWorld바탕체_Pro Light" w:cs="KoPubWorld바탕체_Pro Light"/>
          <w:sz w:val="16"/>
        </w:rPr>
        <w:t>의존 지도는 외주업체 한 단계에서 멈추면 안 된다. 은행이 계약한 핀테크가 다시 클라우드와 인증업체를 쓰고, 그 공급자가 공통 오픈소스와 통신망에 기대면 네 번째 당사자가 실제 단일 실패점일 수 있다. 계약 관계가 없는 공급자의 정보까지 얻기 위해 표준 등록부와 공급망 통지가 필요하다.</w:t>
      </w:r>
    </w:p>
    <w:p>
      <w:pPr>
        <w:pStyle w:val="aff3"/>
        <w:spacing w:line="259" w:lineRule="auto"/>
      </w:pPr>
      <w:r>
        <w:rPr>
          <w:rFonts w:ascii="KoPubWorld바탕체_Pro Light" w:hAnsi="KoPubWorld바탕체_Pro Light" w:eastAsia="KoPubWorld바탕체_Pro Light" w:cs="KoPubWorld바탕체_Pro Light"/>
          <w:sz w:val="16"/>
        </w:rPr>
        <w:t>중요 인력도 시스템 자산이다. 특정 개발자만 복구키와 오래된 프로그램을 이해한다면 서버가 이중화돼도 업무는 복구되지 않는다. 권한 분리, 교대 인력과 문서화, 재난 때의 이동·원격근무 계획을 함께 시험해야 한다. 운영복원력은 IT 장비 구매가 아니라 조직의 기억을 분산하는 일이다.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클라우드가 만든 공동 운명</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클라우드는 필요한 만큼 자원을 늘리고 전문 보안을 공유하게 한다. 작은 금융회사도 대규모 데이터 분석과 재해복구 기능을 빠르게 사용할 수 있다. 자체 전산실 한 곳에 모든 장비를 두는 것보다 여러 가용영역에 분산된 클라우드가 더 안전할 수도 있다. 외부 위탁은 곧 통제 포기가 아니다.</w:t>
      </w:r>
    </w:p>
    <w:p>
      <w:pPr>
        <w:pStyle w:val="aff3"/>
        <w:spacing w:line="259" w:lineRule="auto"/>
      </w:pPr>
      <w:r>
        <w:rPr>
          <w:rFonts w:ascii="KoPubWorld바탕체_Pro Light" w:hAnsi="KoPubWorld바탕체_Pro Light" w:eastAsia="KoPubWorld바탕체_Pro Light" w:cs="KoPubWorld바탕체_Pro Light"/>
          <w:sz w:val="16"/>
        </w:rPr>
        <w:t>문제는 많은 금융회사가 소수의 대형 공급자와 같은 소프트웨어·지역에 의존할 때 생긴다. 개별 은행은 검증된 업체를 선택해 위험을 줄였다고 생각하지만 시스템 전체는 한 공급자에 집중된다. 한 클라우드의 인증, 네트워크 또는 관리도구가 실패하면 서로 관계없던 은행들이 동시에 멈춘다. 개별적으로 합리적인 선택이 집단적 단일 실패점을 만든다.</w:t>
      </w:r>
    </w:p>
    <w:p>
      <w:pPr>
        <w:pStyle w:val="aff3"/>
        <w:spacing w:line="259" w:lineRule="auto"/>
      </w:pPr>
      <w:r>
        <w:rPr>
          <w:rFonts w:ascii="KoPubWorld바탕체_Pro Light" w:hAnsi="KoPubWorld바탕체_Pro Light" w:eastAsia="KoPubWorld바탕체_Pro Light" w:cs="KoPubWorld바탕체_Pro Light"/>
          <w:sz w:val="16"/>
        </w:rPr>
        <w:t>계약만으로 이 위험을 해결하기 어렵다. 대형 공급자는 금융회사보다 협상력이 크고, 하도급과 데이터 위치를 완전히 공개하지 않을 수 있다. 장애 때 감사권과 접근권이 있어도 수십 곳의 고객이 동시에 요청하면 실효성이 떨어진다. 감독당국이 금융회사를 통해 간접적으로만 정보를 받으면 공급자 전체의 집중도와 네 번째 당사자까지 보기 어렵다.</w:t>
      </w:r>
    </w:p>
    <w:p>
      <w:pPr>
        <w:pStyle w:val="aff3"/>
        <w:spacing w:line="259" w:lineRule="auto"/>
      </w:pPr>
      <w:r>
        <w:rPr>
          <w:rFonts w:ascii="KoPubWorld바탕체_Pro Light" w:hAnsi="KoPubWorld바탕체_Pro Light" w:eastAsia="KoPubWorld바탕체_Pro Light" w:cs="KoPubWorld바탕체_Pro Light"/>
          <w:sz w:val="16"/>
        </w:rPr>
        <w:t>출구 계획은 가입 계약만큼 중요하다. 데이터를 다른 공급자로 옮기는 데 얼마나 걸리는지, 소프트웨어가 특정 업체의 독점 기능에 묶였는지, 암호키와 로그를 반환받을 수 있는지를 평상시에 시험해야 한다. ‘필요하면 바꾸면 된다’는 문장은 실제 이전 훈련과 대체 용량이 있을 때만 계획이다. 멀티클라우드도 같은 관리도구와 통신망을 공유하면 겉보기 분산일 수 있다.</w:t>
      </w:r>
    </w:p>
    <w:p>
      <w:pPr>
        <w:pStyle w:val="aff3"/>
        <w:spacing w:line="259" w:lineRule="auto"/>
      </w:pPr>
      <w:r>
        <w:rPr>
          <w:rFonts w:ascii="KoPubWorld바탕체_Pro Light" w:hAnsi="KoPubWorld바탕체_Pro Light" w:eastAsia="KoPubWorld바탕체_Pro Light" w:cs="KoPubWorld바탕체_Pro Light"/>
          <w:sz w:val="16"/>
        </w:rPr>
        <w:t>공급자 집중은 경쟁정책과도 만난다. 보안·규모의 경제 때문에 가장 큰 업체를 선택하는 것이 합리적이지만, 시장이 몇 곳으로 굳으면 금융회사는 가격과 계약조건을 통제하기 어렵다. 데이터 이동성과 표준 인터페이스, 공동 구매가 대체 가능성을 높일 수 있다. 무조건적인 공급자 수 제한보다 전환 가능성을 경쟁의 지표로 보는 편이 낫다.</w:t>
      </w:r>
    </w:p>
    <w:p>
      <w:pPr>
        <w:pStyle w:val="aff3"/>
        <w:spacing w:line="259" w:lineRule="auto"/>
      </w:pPr>
      <w:r>
        <w:rPr>
          <w:rFonts w:ascii="KoPubWorld바탕체_Pro Light" w:hAnsi="KoPubWorld바탕체_Pro Light" w:eastAsia="KoPubWorld바탕체_Pro Light" w:cs="KoPubWorld바탕체_Pro Light"/>
          <w:sz w:val="16"/>
        </w:rPr>
        <w:t>지역 분산도 관할을 바꾼다. 해외 데이터센터를 쓰면 물리적 재해를 분산할 수 있지만 감독 접근, 개인정보 이전과 정부의 데이터 요구가 다른 법에 놓인다. ‘데이터의 위치’와 ‘데이터를 실질적으로 통제하는 자’를 함께 확인해야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한국의 망분리에서 결과책임으로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한국 금융권은 외부 인터넷과 내부 업무망을 물리적·논리적으로 분리하는 망분리를 오랫동안 핵심 방어선으로 삼았다. 공격 경로를 줄이고 중요정보의 유출을 막는 장점이 있었지만 클라우드 기반 소프트웨어와 생성형 인공지능 활용, 개발 협업을 어렵게 한다는 비판도 커졌다.</w:t>
      </w:r>
    </w:p>
    <w:p>
      <w:pPr>
        <w:pStyle w:val="aff3"/>
        <w:spacing w:line="259" w:lineRule="auto"/>
      </w:pPr>
      <w:r>
        <w:rPr>
          <w:rFonts w:ascii="KoPubWorld바탕체_Pro Light" w:hAnsi="KoPubWorld바탕체_Pro Light" w:eastAsia="KoPubWorld바탕체_Pro Light" w:cs="KoPubWorld바탕체_Pro Light"/>
          <w:sz w:val="16"/>
        </w:rPr>
        <w:t>금융위원회는 2024년 8월 13일 ‘금융분야 망분리 개선 로드맵’을 발표했다. 생성형 AI와 SaaS 활용을 우선 규제샌드박스로 허용하고 보안 조건과 점검을 붙이며, 장기적으로 열거식 규칙에서 목표·원칙 중심의 ‘자율보안-결과책임’ 체계로 옮기는 방향을 제시했다.</w:t>
      </w:r>
      <w:r>
        <w:rPr>
          <w:rFonts w:ascii="KoPubWorld바탕체_Pro Light" w:hAnsi="KoPubWorld바탕체_Pro Light" w:eastAsia="KoPubWorld바탕체_Pro Light" w:cs="KoPubWorld바탕체_Pro Light"/>
          <w:sz w:val="14"/>
          <w:vertAlign w:val="superscript"/>
        </w:rPr>
        <w:t>206</w:t>
      </w:r>
    </w:p>
    <w:p>
      <w:pPr>
        <w:pStyle w:val="aff3"/>
        <w:spacing w:line="259" w:lineRule="auto"/>
      </w:pPr>
      <w:r>
        <w:rPr>
          <w:rFonts w:ascii="KoPubWorld바탕체_Pro Light" w:hAnsi="KoPubWorld바탕체_Pro Light" w:eastAsia="KoPubWorld바탕체_Pro Light" w:cs="KoPubWorld바탕체_Pro Light"/>
          <w:sz w:val="16"/>
        </w:rPr>
        <w:t>로드맵은 당시 곧바로 모든 망분리 의무를 폐지한 법이 아니었다. 단기 과제는 샌드박스와 전자금융감독규정 개정을 통해 단계적으로 추진하고, 별도 디지털 금융보안법과 제3자 위험 체계는 중장기 검토 대상으로 두었다.</w:t>
      </w:r>
      <w:r>
        <w:rPr>
          <w:rFonts w:ascii="KoPubWorld바탕체_Pro Light" w:hAnsi="KoPubWorld바탕체_Pro Light" w:eastAsia="KoPubWorld바탕체_Pro Light" w:cs="KoPubWorld바탕체_Pro Light"/>
          <w:sz w:val="14"/>
          <w:vertAlign w:val="superscript"/>
        </w:rPr>
        <w:t>206</w:t>
      </w:r>
      <w:r>
        <w:rPr>
          <w:rFonts w:ascii="KoPubWorld바탕체_Pro Light" w:hAnsi="KoPubWorld바탕체_Pro Light" w:eastAsia="KoPubWorld바탕체_Pro Light" w:cs="KoPubWorld바탕체_Pro Light"/>
          <w:sz w:val="16"/>
        </w:rPr>
        <w:t xml:space="preserve"> 정책 방향, 특례 지정과 일반 규칙의 시행을 구별해야 한다.</w:t>
      </w:r>
    </w:p>
    <w:p>
      <w:pPr>
        <w:pStyle w:val="aff3"/>
        <w:spacing w:line="259" w:lineRule="auto"/>
      </w:pPr>
      <w:r>
        <w:rPr>
          <w:rFonts w:ascii="KoPubWorld바탕체_Pro Light" w:hAnsi="KoPubWorld바탕체_Pro Light" w:eastAsia="KoPubWorld바탕체_Pro Light" w:cs="KoPubWorld바탕체_Pro Light"/>
          <w:sz w:val="16"/>
        </w:rPr>
        <w:t>2026년 7월 현재 전자금융감독규정은 2026년 2월 13일 시행본이 존재하고, 전자금융업자의 정보기술·보안과 사고보고, 클라우드 이용 관련 통제의 행정규칙 체계가 계속 작동한다.</w:t>
      </w:r>
      <w:r>
        <w:rPr>
          <w:rFonts w:ascii="KoPubWorld바탕체_Pro Light" w:hAnsi="KoPubWorld바탕체_Pro Light" w:eastAsia="KoPubWorld바탕체_Pro Light" w:cs="KoPubWorld바탕체_Pro Light"/>
          <w:sz w:val="14"/>
          <w:vertAlign w:val="superscript"/>
        </w:rPr>
        <w:t>207</w:t>
      </w:r>
      <w:r>
        <w:rPr>
          <w:rFonts w:ascii="KoPubWorld바탕체_Pro Light" w:hAnsi="KoPubWorld바탕체_Pro Light" w:eastAsia="KoPubWorld바탕체_Pro Light" w:cs="KoPubWorld바탕체_Pro Light"/>
          <w:sz w:val="16"/>
        </w:rPr>
        <w:t xml:space="preserve"> 원칙 중심 전환은 규칙이 사라진다는 뜻이 아니다. 금융회사가 자기 위험을 더 자유롭게 평가하는 대신 이사회와 경영진이 결과를 설명하고 사고 비용을 부담하는 쪽으로 책임의 위치가 바뀐다.</w:t>
      </w:r>
    </w:p>
    <w:p>
      <w:pPr>
        <w:pStyle w:val="aff3"/>
        <w:spacing w:line="259" w:lineRule="auto"/>
      </w:pPr>
      <w:r>
        <w:rPr>
          <w:rFonts w:ascii="KoPubWorld바탕체_Pro Light" w:hAnsi="KoPubWorld바탕체_Pro Light" w:eastAsia="KoPubWorld바탕체_Pro Light" w:cs="KoPubWorld바탕체_Pro Light"/>
          <w:sz w:val="16"/>
        </w:rPr>
        <w:t>자율보안은 역량 격차를 드러낸다. 큰 금융회사는 전문가와 모의해킹, 다중 클라우드에 투자할 수 있지만 작은 업체는 최소 기준조차 해석하기 어렵다. 동일한 결과책임을 부과하되 중요도와 규모에 맞는 비례성, 공통 보안 서비스와 감독 지침이 필요하다. 원칙은 모호한 면책이 아니라 감독자와 회사가 위험 판단의 근거를 더 깊게 논의하게 하는 장치여야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DORA, 공급자까지 보는 유럽의 실험</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유럽연합의 디지털 운영복원력 규정 DORA는 2022년 12월 채택되어 2025년 1월 17일부터 적용되었다.</w:t>
      </w:r>
      <w:r>
        <w:rPr>
          <w:rFonts w:ascii="KoPubWorld바탕체_Pro Light" w:hAnsi="KoPubWorld바탕체_Pro Light" w:eastAsia="KoPubWorld바탕체_Pro Light" w:cs="KoPubWorld바탕체_Pro Light"/>
          <w:sz w:val="14"/>
          <w:vertAlign w:val="superscript"/>
        </w:rPr>
        <w:t>208</w:t>
      </w:r>
      <w:r>
        <w:rPr>
          <w:rFonts w:ascii="KoPubWorld바탕체_Pro Light" w:hAnsi="KoPubWorld바탕체_Pro Light" w:eastAsia="KoPubWorld바탕체_Pro Light" w:cs="KoPubWorld바탕체_Pro Light"/>
          <w:sz w:val="16"/>
        </w:rPr>
        <w:t xml:space="preserve"> 은행뿐 아니라 증권·보험·결제와 암호자산 서비스 등 다양한 금융 주체에 ICT 위험관리, 중대 사고 보고, 복원력 시험, 위협 기반 침투시험과 제3자 위험관리의 공통 틀을 둔다.</w:t>
      </w:r>
    </w:p>
    <w:p>
      <w:pPr>
        <w:pStyle w:val="aff3"/>
        <w:spacing w:line="259" w:lineRule="auto"/>
      </w:pPr>
      <w:r>
        <w:rPr>
          <w:rFonts w:ascii="KoPubWorld바탕체_Pro Light" w:hAnsi="KoPubWorld바탕체_Pro Light" w:eastAsia="KoPubWorld바탕체_Pro Light" w:cs="KoPubWorld바탕체_Pro Light"/>
          <w:sz w:val="16"/>
        </w:rPr>
        <w:t>DORA의 의미는 사이버보안을 금융회사의 IT 부서 문제에서 이사회와 감독의 문제로 끌어올린 데 있다. 금융회사는 중요 기능과 ICT 자산을 식별하고 사고 대응·복구 계획을 유지하며, 외부 서비스 계약의 핵심 조건을 관리해야 한다. 기술 통제와 사업연속성을 별도 문서가 아니라 하나의 운영 위험 체계로 묶는다.</w:t>
      </w:r>
    </w:p>
    <w:p>
      <w:pPr>
        <w:pStyle w:val="aff3"/>
        <w:spacing w:line="259" w:lineRule="auto"/>
      </w:pPr>
      <w:r>
        <w:rPr>
          <w:rFonts w:ascii="KoPubWorld바탕체_Pro Light" w:hAnsi="KoPubWorld바탕체_Pro Light" w:eastAsia="KoPubWorld바탕체_Pro Light" w:cs="KoPubWorld바탕체_Pro Light"/>
          <w:sz w:val="16"/>
        </w:rPr>
        <w:t>더 큰 변화는 중요 ICT 제3자 서비스 제공자에 대한 유럽 차원의 감독 틀이다. 금융회사가 소수 클라우드에 집중되는 시스템 위험을 개별 계약 검토만으로 다루지 않고, 중요 공급자를 지정해 선도감독자가 정보와 검사, 개선 권고를 수행하게 한다. DORA 관련 세부기준은 중요성 판단, 사고 분류와 제3자 계약 정책을 구체화했다.</w:t>
      </w:r>
      <w:r>
        <w:rPr>
          <w:rFonts w:ascii="KoPubWorld바탕체_Pro Light" w:hAnsi="KoPubWorld바탕체_Pro Light" w:eastAsia="KoPubWorld바탕체_Pro Light" w:cs="KoPubWorld바탕체_Pro Light"/>
          <w:sz w:val="14"/>
          <w:vertAlign w:val="superscript"/>
        </w:rPr>
        <w:t>209</w:t>
      </w:r>
    </w:p>
    <w:p>
      <w:pPr>
        <w:pStyle w:val="aff3"/>
        <w:spacing w:line="259" w:lineRule="auto"/>
      </w:pPr>
      <w:r>
        <w:rPr>
          <w:rFonts w:ascii="KoPubWorld바탕체_Pro Light" w:hAnsi="KoPubWorld바탕체_Pro Light" w:eastAsia="KoPubWorld바탕체_Pro Light" w:cs="KoPubWorld바탕체_Pro Light"/>
          <w:sz w:val="16"/>
        </w:rPr>
        <w:t>직접 감독도 만능은 아니다. 클라우드 공급자는 금융 외의 수많은 산업과 세계 여러 지역에 서비스를 제공한다. 한 관할 감독자의 요구가 다른 나라의 보안·데이터 법과 충돌할 수 있고, 지나치게 상세한 금융 규칙은 공급자가 작은 금융회사를 고객으로 받지 않게 할 수 있다. 공통 결과를 요구하되 기술 설계를 고정하지 않는 균형이 필요하다.</w:t>
      </w:r>
    </w:p>
    <w:p>
      <w:pPr>
        <w:pStyle w:val="aff3"/>
        <w:spacing w:line="259" w:lineRule="auto"/>
      </w:pPr>
      <w:r>
        <w:rPr>
          <w:rFonts w:ascii="KoPubWorld바탕체_Pro Light" w:hAnsi="KoPubWorld바탕체_Pro Light" w:eastAsia="KoPubWorld바탕체_Pro Light" w:cs="KoPubWorld바탕체_Pro Light"/>
          <w:sz w:val="16"/>
        </w:rPr>
        <w:t>DORA가 2025년부터 적용됐다는 말은 모든 금융회사의 복원력이 그날 완성됐다는 뜻이 아니다. 규정은 의무의 시작이고, 공급자 지정·감독과 실제 시험은 계속 축적되는 집행 과정이다. ‘시행 중’과 ‘완전한 효과가 입증됨’을 구별해야 한다.</w:t>
      </w:r>
      <w:r>
        <w:rPr>
          <w:rFonts w:ascii="KoPubWorld바탕체_Pro Light" w:hAnsi="KoPubWorld바탕체_Pro Light" w:eastAsia="KoPubWorld바탕체_Pro Light" w:cs="KoPubWorld바탕체_Pro Light"/>
          <w:sz w:val="14"/>
          <w:vertAlign w:val="superscript"/>
        </w:rPr>
        <w:t>208</w:t>
      </w:r>
    </w:p>
    <w:p>
      <w:pPr>
        <w:pStyle w:val="aff3"/>
        <w:spacing w:line="259" w:lineRule="auto"/>
      </w:pPr>
      <w:r>
        <w:rPr>
          <w:rFonts w:ascii="KoPubWorld바탕체_Pro Light" w:hAnsi="KoPubWorld바탕체_Pro Light" w:eastAsia="KoPubWorld바탕체_Pro Light" w:cs="KoPubWorld바탕체_Pro Light"/>
          <w:sz w:val="16"/>
        </w:rPr>
        <w:t>DORA의 공통 틀은 업권 사이 전염을 보는 데 장점이 있다. 같은 클라우드 장애가 은행, 보험과 암호자산 거래소를 동시에 건드려도 보고와 시험의 언어를 맞출 수 있다. 다만 비례성이 없으면 작은 기관이 대형은행과 같은 문서 부담을 지게 된다. 중요 기능과 시스템 영향에 따라 깊이를 조정하되 보호 결과는 낮추지 않아야 한다.</w:t>
      </w:r>
    </w:p>
    <w:p>
      <w:pPr>
        <w:pStyle w:val="aff3"/>
        <w:spacing w:line="259" w:lineRule="auto"/>
      </w:pPr>
      <w:r>
        <w:rPr>
          <w:rFonts w:ascii="KoPubWorld바탕체_Pro Light" w:hAnsi="KoPubWorld바탕체_Pro Light" w:eastAsia="KoPubWorld바탕체_Pro Light" w:cs="KoPubWorld바탕체_Pro Light"/>
          <w:sz w:val="16"/>
        </w:rPr>
        <w:t>유럽 밖 금융회사도 공급망을 통해 영향을 받는다. 글로벌 클라우드와 다국적 금융그룹은 DORA 계약 조건과 보고 항목을 다른 지역에도 확산시킬 수 있다. 이는 표준화를 돕지만 한 지역 규칙이 사실상의 세계 표준이 될 때 다른 법과의 충돌도 생긴다. 감독당국 간 상호인정과 공통 용어가 필요하다.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사고 보고는 처벌장이 아니라 지도다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사이버·운영 사고는 한 회사의 비밀이면서 시스템의 경고다. 너무 늦게 보고하면 당국과 다른 금융회사가 전염을 막지 못한다. 반대로 작은 사건까지 여러 기관에 서로 다른 양식으로 즉시 보고하게 하면 현장 인력이 복구보다 문서 작성에 매달린다. 보고 문턱, 단계와 정보 보호를 조정해야 한다.</w:t>
      </w:r>
    </w:p>
    <w:p>
      <w:pPr>
        <w:pStyle w:val="aff3"/>
        <w:spacing w:line="259" w:lineRule="auto"/>
      </w:pPr>
      <w:r>
        <w:rPr>
          <w:rFonts w:ascii="KoPubWorld바탕체_Pro Light" w:hAnsi="KoPubWorld바탕체_Pro Light" w:eastAsia="KoPubWorld바탕체_Pro Light" w:cs="KoPubWorld바탕체_Pro Light"/>
          <w:sz w:val="16"/>
        </w:rPr>
        <w:t>금융안정위원회는 2023년 사이버 사고 보고의 국제적 수렴을 위한 권고와 공통 개념을 제시했다.</w:t>
      </w:r>
      <w:r>
        <w:rPr>
          <w:rFonts w:ascii="KoPubWorld바탕체_Pro Light" w:hAnsi="KoPubWorld바탕체_Pro Light" w:eastAsia="KoPubWorld바탕체_Pro Light" w:cs="KoPubWorld바탕체_Pro Light"/>
          <w:sz w:val="14"/>
          <w:vertAlign w:val="superscript"/>
        </w:rPr>
        <w:t>210</w:t>
      </w:r>
      <w:r>
        <w:rPr>
          <w:rFonts w:ascii="KoPubWorld바탕체_Pro Light" w:hAnsi="KoPubWorld바탕체_Pro Light" w:eastAsia="KoPubWorld바탕체_Pro Light" w:cs="KoPubWorld바탕체_Pro Light"/>
          <w:sz w:val="16"/>
        </w:rPr>
        <w:t xml:space="preserve"> 여러 관할에서 정의와 시간, 보고 항목이 달라 다국적 금융회사와 당국의 대응이 분절되는 문제를 겨냥했다.</w:t>
      </w:r>
    </w:p>
    <w:p>
      <w:pPr>
        <w:pStyle w:val="aff3"/>
        <w:spacing w:line="259" w:lineRule="auto"/>
      </w:pPr>
      <w:r>
        <w:rPr>
          <w:rFonts w:ascii="KoPubWorld바탕체_Pro Light" w:hAnsi="KoPubWorld바탕체_Pro Light" w:eastAsia="KoPubWorld바탕체_Pro Light" w:cs="KoPubWorld바탕체_Pro Light"/>
          <w:sz w:val="16"/>
        </w:rPr>
        <w:t>2025년 4월 15일에는 운영·사이버 사고의 공통 보고 형식인 FIRE 최종보고서가 나왔다. 표준화하되 기존 체계와 상호운용하고 단계적으로 채택할 수 있는 형식으로, 여러 당국에 중복 보고하는 부담과 국경 간 정보공유의 마찰을 줄이려 한다.</w:t>
      </w:r>
      <w:r>
        <w:rPr>
          <w:rFonts w:ascii="KoPubWorld바탕체_Pro Light" w:hAnsi="KoPubWorld바탕체_Pro Light" w:eastAsia="KoPubWorld바탕체_Pro Light" w:cs="KoPubWorld바탕체_Pro Light"/>
          <w:sz w:val="14"/>
          <w:vertAlign w:val="superscript"/>
        </w:rPr>
        <w:t>211</w:t>
      </w:r>
      <w:r>
        <w:rPr>
          <w:rFonts w:ascii="KoPubWorld바탕체_Pro Light" w:hAnsi="KoPubWorld바탕체_Pro Light" w:eastAsia="KoPubWorld바탕체_Pro Light" w:cs="KoPubWorld바탕체_Pro Light"/>
          <w:sz w:val="16"/>
        </w:rPr>
        <w:t xml:space="preserve"> 이것은 각국에 자동 적용되는 조약이 아니라 당국이 채택할 수 있는 국제 공통 기반이다.</w:t>
      </w:r>
    </w:p>
    <w:p>
      <w:pPr>
        <w:pStyle w:val="aff3"/>
        <w:spacing w:line="259" w:lineRule="auto"/>
      </w:pPr>
      <w:r>
        <w:rPr>
          <w:rFonts w:ascii="KoPubWorld바탕체_Pro Light" w:hAnsi="KoPubWorld바탕체_Pro Light" w:eastAsia="KoPubWorld바탕체_Pro Light" w:cs="KoPubWorld바탕체_Pro Light"/>
          <w:sz w:val="16"/>
        </w:rPr>
        <w:t>사고 정보는 민감하다. 취약점과 복구 상태가 유출되면 추가 공격을 부를 수 있고, 고객정보와 영업비밀이 포함될 수 있다. 당국 간 공유의 목적, 접근권과 보존기간을 제한하고 법적 비밀보호를 마련해야 한다. 동시에 회사가 평판을 이유로 피해 규모를 축소하지 못하도록 사후 검증과 제재가 있어야 한다.</w:t>
      </w:r>
    </w:p>
    <w:p>
      <w:pPr>
        <w:pStyle w:val="aff3"/>
        <w:spacing w:line="259" w:lineRule="auto"/>
      </w:pPr>
      <w:r>
        <w:rPr>
          <w:rFonts w:ascii="KoPubWorld바탕체_Pro Light" w:hAnsi="KoPubWorld바탕체_Pro Light" w:eastAsia="KoPubWorld바탕체_Pro Light" w:cs="KoPubWorld바탕체_Pro Light"/>
          <w:sz w:val="16"/>
        </w:rPr>
        <w:t>좋은 보고 문화는 초기 정보의 불완전성을 인정한다. 첫 한 시간에 원인과 피해액을 모두 알 수 없으므로 ‘확인된 사실’, ‘추정’과 ‘모르는 것’을 나누고 업데이트하게 해야 한다. 정확성만 요구해 보고를 늦추거나 속도만 요구해 소문을 공식화해서는 안 된다.</w:t>
      </w:r>
    </w:p>
    <w:p>
      <w:pPr>
        <w:pStyle w:val="aff3"/>
        <w:spacing w:line="259" w:lineRule="auto"/>
      </w:pPr>
      <w:r>
        <w:rPr>
          <w:rFonts w:ascii="KoPubWorld바탕체_Pro Light" w:hAnsi="KoPubWorld바탕체_Pro Light" w:eastAsia="KoPubWorld바탕체_Pro Light" w:cs="KoPubWorld바탕체_Pro Light"/>
          <w:sz w:val="16"/>
        </w:rPr>
        <w:t>고객 소통은 감독 보고와 별도의 중요 업무다. 서비스가 멈췄을 때 침묵하면 고객은 잔액 손실을 의심하고 반복 접속으로 시스템 부하를 키운다. 확인된 영향, 대체 채널과 다음 업데이트 시간을 일관되게 알려야 한다. 법무·홍보와 기술팀이 서로 다른 메시지를 내지 않도록 훈련해야 한다.</w:t>
      </w:r>
    </w:p>
    <w:p>
      <w:pPr>
        <w:pStyle w:val="aff3"/>
        <w:spacing w:line="259" w:lineRule="auto"/>
      </w:pPr>
      <w:r>
        <w:rPr>
          <w:rFonts w:ascii="KoPubWorld바탕체_Pro Light" w:hAnsi="KoPubWorld바탕체_Pro Light" w:eastAsia="KoPubWorld바탕체_Pro Light" w:cs="KoPubWorld바탕체_Pro Light"/>
          <w:sz w:val="16"/>
        </w:rPr>
        <w:t>사후보고는 비난의 문서가 아니라 학습의 자료가 되어야 한다. 근본 원인, 탐지 지연, 복구 중 실패와 우연히 잘된 일을 함께 기록하고 유사 기관에 익명화해 공유할 수 있다. 제재만 두려우면 작은 전조를 숨기고, 면책만 보장하면 개선이 느슨해진다. 고의·중과실과 성실한 조기보고를 구분하는 집행이 필요하다.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복원력은 경쟁의 반대말이 아니다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제3자 위험을 이유로 모든 시스템을 자체 구축하라고 하면 비용이 커지고 오히려 낡은 기술에 갇힐 수 있다. 반대로 공급자의 인증서만 믿고 책임을 넘기면 은행의 핵심 의무가 외주화된다. 업무를 맡겨도 책임은 이전되지 않는다는 원칙이 출발점이다.</w:t>
      </w:r>
    </w:p>
    <w:p>
      <w:pPr>
        <w:pStyle w:val="aff3"/>
        <w:spacing w:line="259" w:lineRule="auto"/>
      </w:pPr>
      <w:r>
        <w:rPr>
          <w:rFonts w:ascii="KoPubWorld바탕체_Pro Light" w:hAnsi="KoPubWorld바탕체_Pro Light" w:eastAsia="KoPubWorld바탕체_Pro Light" w:cs="KoPubWorld바탕체_Pro Light"/>
          <w:sz w:val="16"/>
        </w:rPr>
        <w:t>감독자는 시장 전체의 의존 지도를 가져야 한다. 어떤 은행들이 같은 클라우드 지역, 같은 인증 라이브러리, 같은 통신망과 핵심 인력에 기대는지 알아야 심각한 공통 시나리오를 설계할 수 있다. 공급자 이름만 모으는 등록부가 아니라 중요 업무와 대체 가능성까지 연결한 데이터가 필요하다.</w:t>
      </w:r>
    </w:p>
    <w:p>
      <w:pPr>
        <w:pStyle w:val="aff3"/>
        <w:spacing w:line="259" w:lineRule="auto"/>
      </w:pPr>
      <w:r>
        <w:rPr>
          <w:rFonts w:ascii="KoPubWorld바탕체_Pro Light" w:hAnsi="KoPubWorld바탕체_Pro Light" w:eastAsia="KoPubWorld바탕체_Pro Light" w:cs="KoPubWorld바탕체_Pro Light"/>
          <w:sz w:val="16"/>
        </w:rPr>
        <w:t>회사는 실제 복구를 시험해야 한다. 백업이 있다는 보고서와 백업으로 하루를 운영해 본 경험은 다르다. 주 시스템 없이 고객 잔액을 맞추고 수동으로 중요 결제를 처리하며, 고객과 당국에 일관된 메시지를 보내는 훈련이 필요하다. 실패한 훈련을 숨기지 않고 개선하는 문화가 완벽한 감사 점수보다 안전하다.</w:t>
      </w:r>
    </w:p>
    <w:p>
      <w:pPr>
        <w:pStyle w:val="aff3"/>
        <w:spacing w:line="259" w:lineRule="auto"/>
      </w:pPr>
      <w:r>
        <w:rPr>
          <w:rFonts w:ascii="KoPubWorld바탕체_Pro Light" w:hAnsi="KoPubWorld바탕체_Pro Light" w:eastAsia="KoPubWorld바탕체_Pro Light" w:cs="KoPubWorld바탕체_Pro Light"/>
          <w:sz w:val="16"/>
        </w:rPr>
        <w:t>시험도 생산 시스템을 해칠 수 있다. 침투시험과 장애주입의 범위, 중단 조건과 복구 권한을 정하고 중요 시기를 피해야 한다. 너무 안전하게 각본화하면 실제 충격을 배우지 못하고, 무모하게 실시하면 시험이 사고가 된다. 독립된 통제 아래 점진적으로 강도를 높이는 방식이 필요하다.</w:t>
      </w:r>
    </w:p>
    <w:p>
      <w:pPr>
        <w:pStyle w:val="aff3"/>
        <w:spacing w:line="259" w:lineRule="auto"/>
      </w:pPr>
      <w:r>
        <w:rPr>
          <w:rFonts w:ascii="KoPubWorld바탕체_Pro Light" w:hAnsi="KoPubWorld바탕체_Pro Light" w:eastAsia="KoPubWorld바탕체_Pro Light" w:cs="KoPubWorld바탕체_Pro Light"/>
          <w:sz w:val="16"/>
        </w:rPr>
        <w:t>운영복원력은 자본규제의 후속편이면서 철학의 전환이다. 자본은 손실이 난 뒤 버틸 완충을 쌓고, 복원력은 중단이 일어난다는 전제 아래 중요한 기능을 지킨다. 둘 다 실패를 제로로 만들지 않는다. 실패가 사회 전체의 정지로 번지지 않게 경로를 바꾼다.</w:t>
      </w:r>
    </w:p>
    <w:p>
      <w:pPr>
        <w:pStyle w:val="aff3"/>
        <w:spacing w:line="259" w:lineRule="auto"/>
      </w:pPr>
      <w:r>
        <w:rPr>
          <w:rFonts w:ascii="KoPubWorld바탕체_Pro Light" w:hAnsi="KoPubWorld바탕체_Pro Light" w:eastAsia="KoPubWorld바탕체_Pro Light" w:cs="KoPubWorld바탕체_Pro Light"/>
          <w:sz w:val="16"/>
        </w:rPr>
        <w:t>은행의 바깥이 은행을 멈출 수 있게 되면서 감독 경계는 공급망을 따라 확장됐다. 다음에는 판단 자체가 외부 모델과 데이터에 의존한다. 클라우드가 거래를 처리한다면 인공지능은 누구에게 신용을 줄지 결정한다. 서버의 장애는 눈에 보이지만 모델의 편향과 드리프트는 정상 작동하는 화면 뒤에서 오래 지속될 수 있다.</w:t>
      </w:r>
    </w:p>
    <w:p>
      <w:pPr>
        <w:pStyle w:val="aff2"/>
        <w:pageBreakBefore/>
        <w:spacing w:before="440"/>
        <w:jc w:val="center"/>
      </w:pPr>
      <w:r>
        <w:rPr>
          <w:rFonts w:ascii="KoPubWorld바탕체_Pro Bold" w:hAnsi="KoPubWorld바탕체_Pro Bold" w:eastAsia="KoPubWorld바탕체_Pro Bold" w:cs="KoPubWorld바탕체_Pro Bold"/>
          <w:b/>
          <w:sz w:val="24"/>
        </w:rPr>
        <w:t>Chapter. 32</w:t>
      </w:r>
    </w:p>
    <w:p>
      <w:pPr>
        <w:pStyle w:val="aff1"/>
        <w:jc w:val="center"/>
      </w:pPr>
      <w:r>
        <w:rPr>
          <w:rFonts w:ascii="KoPubWorld바탕체_Pro Bold" w:hAnsi="KoPubWorld바탕체_Pro Bold" w:eastAsia="KoPubWorld바탕체_Pro Bold" w:cs="KoPubWorld바탕체_Pro Bold"/>
          <w:b/>
          <w:sz w:val="28"/>
        </w:rPr>
        <w:t>알고리즘이 신용을 배분한다 - AI 신용평가, 편향, 설명가능성, 모델위험</w:t>
      </w:r>
    </w:p>
    <w:p>
      <w:pPr>
        <w:spacing w:before="60" w:after="0"/>
      </w:pPr>
    </w:p>
    <w:p>
      <w:pPr>
        <w:keepNext/>
        <w:jc w:val="center"/>
      </w:pPr>
      <w:r>
        <w:drawing>
          <wp:inline xmlns:a="http://schemas.openxmlformats.org/drawingml/2006/main" xmlns:pic="http://schemas.openxmlformats.org/drawingml/2006/picture">
            <wp:extent cx="3941063" cy="2627375"/>
            <wp:docPr id="19" name="Picture 19" descr="AI 신용평가 심사. 알고리즘이 신용을 배분할수록 설명과 이의제기의 책임이 중요해진다." title="AI 신용평가 심사. 알고리즘이 신용을 배분할수록 설명과 이의제기의 책임이 중요해진다."/>
            <wp:cNvGraphicFramePr>
              <a:graphicFrameLocks noChangeAspect="1"/>
            </wp:cNvGraphicFramePr>
            <a:graphic>
              <a:graphicData uri="http://schemas.openxmlformats.org/drawingml/2006/picture">
                <pic:pic>
                  <pic:nvPicPr>
                    <pic:cNvPr id="0" name="ch32_ai_credit_gray_q86.jpg"/>
                    <pic:cNvPicPr/>
                  </pic:nvPicPr>
                  <pic:blipFill>
                    <a:blip r:embed="rId55"/>
                    <a:stretch>
                      <a:fillRect/>
                    </a:stretch>
                  </pic:blipFill>
                  <pic:spPr>
                    <a:xfrm>
                      <a:off x="0" y="0"/>
                      <a:ext cx="3941063" cy="2627375"/>
                    </a:xfrm>
                    <a:prstGeom prst="rect"/>
                  </pic:spPr>
                </pic:pic>
              </a:graphicData>
            </a:graphic>
          </wp:inline>
        </w:drawing>
      </w:r>
    </w:p>
    <w:p>
      <w:pPr>
        <w:pStyle w:val="aff6"/>
        <w:jc w:val="center"/>
      </w:pPr>
      <w:r>
        <w:rPr>
          <w:rFonts w:ascii="Noto Sans CJK KR" w:hAnsi="Noto Sans CJK KR" w:eastAsia="Noto Sans CJK KR" w:cs="Noto Sans CJK KR"/>
          <w:sz w:val="17"/>
        </w:rPr>
        <w:t>그림 32. AI 신용평가 심사. 알고리즘이 신용을 배분할수록 설명과 이의제기의 책임이 중요해진다.</w:t>
      </w:r>
    </w:p>
    <w:p>
      <w:pPr>
        <w:spacing w:before="80" w:after="0"/>
      </w:pPr>
    </w:p>
    <w:p>
      <w:pPr>
        <w:pStyle w:val="aff3"/>
        <w:spacing w:line="259" w:lineRule="auto"/>
      </w:pPr>
      <w:r>
        <w:rPr>
          <w:rFonts w:ascii="KoPubWorld바탕체_Pro Light" w:hAnsi="KoPubWorld바탕체_Pro Light" w:eastAsia="KoPubWorld바탕체_Pro Light" w:cs="KoPubWorld바탕체_Pro Light"/>
          <w:sz w:val="16"/>
        </w:rPr>
        <w:t>대출 신청자가 마지막 버튼을 누른 지 3초 뒤 화면에 ‘승인 불가’가 뜬다. 창구 직원은 없고 이유는 ‘내부 심사기준’이라고만 적혀 있다. 시스템은 고장 나지 않았다. 입력된 정보와 학습된 규칙에 따라 정확히 작동했다. 그러나 신청자는 어느 정보가 틀렸는지, 무엇을 바꾸면 다시 심사받을 수 있는지, 같은 조건의 다른 사람도 같은 결과를 받는지 알 수 없다.</w:t>
      </w:r>
    </w:p>
    <w:p>
      <w:pPr>
        <w:pStyle w:val="aff3"/>
        <w:spacing w:line="259" w:lineRule="auto"/>
      </w:pPr>
      <w:r>
        <w:rPr>
          <w:rFonts w:ascii="KoPubWorld바탕체_Pro Light" w:hAnsi="KoPubWorld바탕체_Pro Light" w:eastAsia="KoPubWorld바탕체_Pro Light" w:cs="KoPubWorld바탕체_Pro Light"/>
          <w:sz w:val="16"/>
        </w:rPr>
        <w:t>인공지능 신용평가는 더 많은 정보를 빠르게 처리해 담보와 전통 신용이 부족한 사람에게 새 기회를 줄 수 있다. 동시에 과거의 차별을 학습하고, 생활의 흔적을 상환능력과 혼동하며, 아무도 설명하기 어려운 방식으로 금융 배제를 자동화할 수 있다. 금융규제는 모델의 정확도만이 아니라 데이터, 목적, 인간의 개입과 이의제기까지 하나의 신용배분 과정으로 보아야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모델은 정책을 숨길 수 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신용평가는 언제나 모델이었다. 전통적인 점수표도 소득, 연체와 부채에 가중치를 주어 미래 상환을 예측했다. 기계학습은 더 많은 변수와 비선형 관계를 사용하고 시간이 지나면 갱신될 수 있다는 점에서 다르다. 복잡성이 높아질수록 예측력은 좋아질 수 있지만 어떤 변수 조합이 결정을 만들었는지 설명하기 어려워진다.</w:t>
      </w:r>
    </w:p>
    <w:p>
      <w:pPr>
        <w:pStyle w:val="aff3"/>
        <w:spacing w:line="259" w:lineRule="auto"/>
      </w:pPr>
      <w:r>
        <w:rPr>
          <w:rFonts w:ascii="KoPubWorld바탕체_Pro Light" w:hAnsi="KoPubWorld바탕체_Pro Light" w:eastAsia="KoPubWorld바탕체_Pro Light" w:cs="KoPubWorld바탕체_Pro Light"/>
          <w:sz w:val="16"/>
        </w:rPr>
        <w:t>‘모델이 결정했다’는 문장은 책임을 흐린다. 어떤 목표변수를 예측할지, 어느 정도의 부도위험을 받아들일지, 낮은 점수에 어떤 금리와 한도를 붙일지는 사람이 정한다. 승인율과 손실률, 공정성과 수익성 사이의 선택도 경영 판단이다. 알고리즘은 그 정책을 일관되게 실행할 뿐 중립성을 보증하지 않는다.</w:t>
      </w:r>
    </w:p>
    <w:p>
      <w:pPr>
        <w:pStyle w:val="aff3"/>
        <w:spacing w:line="259" w:lineRule="auto"/>
      </w:pPr>
      <w:r>
        <w:rPr>
          <w:rFonts w:ascii="KoPubWorld바탕체_Pro Light" w:hAnsi="KoPubWorld바탕체_Pro Light" w:eastAsia="KoPubWorld바탕체_Pro Light" w:cs="KoPubWorld바탕체_Pro Light"/>
          <w:sz w:val="16"/>
        </w:rPr>
        <w:t>예측과 규범도 구별해야 한다. 특정 지역, 직업이나 소비패턴이 통계적으로 연체와 관련 있어도 그것을 대출 거절에 사용해도 되는지는 별도의 질문이다. 정확한 차별도 차별일 수 있다. 사회가 보호하기로 한 속성, 금융 접근의 중요성과 오류의 비용을 법과 정책이 먼저 정해야 한다.</w:t>
      </w:r>
    </w:p>
    <w:p>
      <w:pPr>
        <w:pStyle w:val="aff3"/>
        <w:spacing w:line="259" w:lineRule="auto"/>
      </w:pPr>
      <w:r>
        <w:rPr>
          <w:rFonts w:ascii="KoPubWorld바탕체_Pro Light" w:hAnsi="KoPubWorld바탕체_Pro Light" w:eastAsia="KoPubWorld바탕체_Pro Light" w:cs="KoPubWorld바탕체_Pro Light"/>
          <w:sz w:val="16"/>
        </w:rPr>
        <w:t>승인 문턱은 모델 밖의 정책변수다. 같은 부도확률을 예측해도 경기와 자본 여력, 목표 고객에 따라 대출 여부와 금리는 달라진다. 모델 정확도 감사만 하고 컷오프와 가격 정책을 보지 않으면 실제 배제의 원인을 놓친다. 예측값에서 최종 결정으로 가는 모든 규칙을 기록해야 한다.</w:t>
      </w:r>
    </w:p>
    <w:p>
      <w:pPr>
        <w:pStyle w:val="aff3"/>
        <w:spacing w:line="259" w:lineRule="auto"/>
      </w:pPr>
      <w:r>
        <w:rPr>
          <w:rFonts w:ascii="KoPubWorld바탕체_Pro Light" w:hAnsi="KoPubWorld바탕체_Pro Light" w:eastAsia="KoPubWorld바탕체_Pro Light" w:cs="KoPubWorld바탕체_Pro Light"/>
          <w:sz w:val="16"/>
        </w:rPr>
        <w:t>기회의 평등과 결과의 평등도 다르다. 같은 정보를 같은 방식으로 처리하는 절차가 과거에 데이터가 적었던 집단에는 불리할 수 있고, 승인율을 맞추는 결과 조정은 개인 위험의 차이를 가릴 수 있다. 규제자는 하나의 공정성 지표를 법정 답으로 고정하기보다 선택 이유와 집단별 오류를 공개·검증하게 해야 한다.</w:t>
      </w:r>
    </w:p>
    <w:p>
      <w:pPr>
        <w:pStyle w:val="aff3"/>
        <w:spacing w:line="259" w:lineRule="auto"/>
      </w:pPr>
      <w:r>
        <w:rPr>
          <w:rFonts w:ascii="KoPubWorld바탕체_Pro Light" w:hAnsi="KoPubWorld바탕체_Pro Light" w:eastAsia="KoPubWorld바탕체_Pro Light" w:cs="KoPubWorld바탕체_Pro Light"/>
          <w:sz w:val="16"/>
        </w:rPr>
        <w:t>모델 위험은 틀린 수식에만 있지 않다. 좋은 모델을 잘못된 상품이나 고객군에 쓰고, 학습 때와 다른 경제환경에서 계속 운용하며, 사람이 경고를 무시하는 것도 모델 위험이다. 생성형 AI가 심사자료를 요약하거나 상담을 맡으면 사실이 아닌 정보를 그럴듯하게 만들고 프롬프트 공격으로 비밀정보를 노출할 수 있다. 수명주기 전체의 통제가 필요하다.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데이터가 많으면 공정해지는가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대안정보는 금융이력이 짧은 사람을 보완할 수 있다. 통신요금, 현금흐름과 거래 패턴은 전통 신용점수에 없는 상환능력의 흔적을 제공한다. 소상공인의 매출 주기와 플랫폼 정산 데이터를 보면 담보 없이도 더 정교한 한도를 만들 수 있다. 데이터 활용이 금융포용을 넓힐 가능성은 실제 규제 목적이 될 수 있다.</w:t>
      </w:r>
    </w:p>
    <w:p>
      <w:pPr>
        <w:pStyle w:val="aff3"/>
        <w:spacing w:line="259" w:lineRule="auto"/>
      </w:pPr>
      <w:r>
        <w:rPr>
          <w:rFonts w:ascii="KoPubWorld바탕체_Pro Light" w:hAnsi="KoPubWorld바탕체_Pro Light" w:eastAsia="KoPubWorld바탕체_Pro Light" w:cs="KoPubWorld바탕체_Pro Light"/>
          <w:sz w:val="16"/>
        </w:rPr>
        <w:t>그러나 대리변수의 문제가 있다. 성별이나 출신을 직접 쓰지 않아도 주소, 구매 시간과 기기 정보의 조합이 보호 속성을 거의 재현할 수 있다. 과거에 특정 집단이 대출을 덜 받았다면 ‘승인된 사람의 상환 기록’만 학습한 모델은 거절된 사람의 잠재적 성과를 알지 못한다. 역사적 배제는 데이터의 빈칸과 표본 선택으로 남는다.</w:t>
      </w:r>
    </w:p>
    <w:p>
      <w:pPr>
        <w:pStyle w:val="aff3"/>
        <w:spacing w:line="259" w:lineRule="auto"/>
      </w:pPr>
      <w:r>
        <w:rPr>
          <w:rFonts w:ascii="KoPubWorld바탕체_Pro Light" w:hAnsi="KoPubWorld바탕체_Pro Light" w:eastAsia="KoPubWorld바탕체_Pro Light" w:cs="KoPubWorld바탕체_Pro Light"/>
          <w:sz w:val="16"/>
        </w:rPr>
        <w:t>정확성도 집단마다 다를 수 있다. 전체 평균 오류가 낮아도 한 집단에서 거짓 거절이 집중되면 금융포용은 악화된다. 반대로 집단별 승인율을 기계적으로 같게 맞추면 실제 위험 차이와 개인의 사정을 무시할 수 있다. 어떤 공정성 지표를 선택하느냐 자체가 가치판단이므로 이사회와 감독자가 목표와 결과를 검토해야 한다.</w:t>
      </w:r>
    </w:p>
    <w:p>
      <w:pPr>
        <w:pStyle w:val="aff3"/>
        <w:spacing w:line="259" w:lineRule="auto"/>
      </w:pPr>
      <w:r>
        <w:rPr>
          <w:rFonts w:ascii="KoPubWorld바탕체_Pro Light" w:hAnsi="KoPubWorld바탕체_Pro Light" w:eastAsia="KoPubWorld바탕체_Pro Light" w:cs="KoPubWorld바탕체_Pro Light"/>
          <w:sz w:val="16"/>
        </w:rPr>
        <w:t>데이터 품질은 정정권과 연결된다. 동명이인의 연체, 이미 갚은 채무, 사업 폐업의 잘못된 표기가 모델에 들어가면 빠른 자동화가 오류를 더 넓게 복제한다. 입력 데이터의 출처와 갱신 주기, 결측치 처리, 고객이 오류를 고치는 통로를 기록해야 한다. 모델 설명이 유용하려면 잘못된 정보까지 찾아 고칠 수 있어야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설명은 소스코드 공개가 아니다</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한국의 신용정보법은 개인신용평가와 자동화된 평가에 대해 설명과 대응의 틀을 두었다. 개인은 자동화된 평가 결과와 주요 기준, 기초정보에 관한 설명을 요구하고, 정보가 정확하지 않으면 정정·삭제와 재산정을 요구할 수 있다.</w:t>
      </w:r>
      <w:r>
        <w:rPr>
          <w:rFonts w:ascii="KoPubWorld바탕체_Pro Light" w:hAnsi="KoPubWorld바탕체_Pro Light" w:eastAsia="KoPubWorld바탕체_Pro Light" w:cs="KoPubWorld바탕체_Pro Light"/>
          <w:sz w:val="14"/>
          <w:vertAlign w:val="superscript"/>
        </w:rPr>
        <w:t>186</w:t>
      </w:r>
      <w:r>
        <w:rPr>
          <w:rFonts w:ascii="KoPubWorld바탕체_Pro Light" w:hAnsi="KoPubWorld바탕체_Pro Light" w:eastAsia="KoPubWorld바탕체_Pro Light" w:cs="KoPubWorld바탕체_Pro Light"/>
          <w:sz w:val="16"/>
        </w:rPr>
        <w:t xml:space="preserve"> 영업비밀과 보안을 보호하면서도 결정의 영향을 받은 사람이 오류를 다툴 최소한의 통로를 만든 것이다.</w:t>
      </w:r>
    </w:p>
    <w:p>
      <w:pPr>
        <w:pStyle w:val="aff3"/>
        <w:spacing w:line="259" w:lineRule="auto"/>
      </w:pPr>
      <w:r>
        <w:rPr>
          <w:rFonts w:ascii="KoPubWorld바탕체_Pro Light" w:hAnsi="KoPubWorld바탕체_Pro Light" w:eastAsia="KoPubWorld바탕체_Pro Light" w:cs="KoPubWorld바탕체_Pro Light"/>
          <w:sz w:val="16"/>
        </w:rPr>
        <w:t>개인정보 보호법 제37조의2는 완전히 자동화된 결정이 권리·의무에 중대한 영향을 미치는 경우 일정한 예외 아래 거부할 권리와 설명 요구권을 두고, 정당한 사유가 없으면 인간 개입에 의한 재처리나 설명 등 필요한 조치를 하도록 한다. 자동화된 결정의 기준·절차와 개인정보 처리방식도 쉽게 확인할 수 있도록 공개해야 한다.</w:t>
      </w:r>
      <w:r>
        <w:rPr>
          <w:rFonts w:ascii="KoPubWorld바탕체_Pro Light" w:hAnsi="KoPubWorld바탕체_Pro Light" w:eastAsia="KoPubWorld바탕체_Pro Light" w:cs="KoPubWorld바탕체_Pro Light"/>
          <w:sz w:val="14"/>
          <w:vertAlign w:val="superscript"/>
        </w:rPr>
        <w:t>212</w:t>
      </w:r>
    </w:p>
    <w:p>
      <w:pPr>
        <w:pStyle w:val="aff3"/>
        <w:spacing w:line="259" w:lineRule="auto"/>
      </w:pPr>
      <w:r>
        <w:rPr>
          <w:rFonts w:ascii="KoPubWorld바탕체_Pro Light" w:hAnsi="KoPubWorld바탕체_Pro Light" w:eastAsia="KoPubWorld바탕체_Pro Light" w:cs="KoPubWorld바탕체_Pro Light"/>
          <w:sz w:val="16"/>
        </w:rPr>
        <w:t>좋은 설명은 모델의 수학식을 모두 내놓는 일이 아니다. 신청자의 부채비율, 최근 연체정보, 소득 변동처럼 결과에 실제로 중요했던 요인을 구체적으로 알려야 한다. 무엇을 바로잡거나 보완하면 재심사가 가능한지도 말해야 한다. ‘복합적 내부 기준’이나 누구에게나 같은 일반 문구는 정보량은 있어도 행동 가능성이 없다.</w:t>
      </w:r>
    </w:p>
    <w:p>
      <w:pPr>
        <w:pStyle w:val="aff3"/>
        <w:spacing w:line="259" w:lineRule="auto"/>
      </w:pPr>
      <w:r>
        <w:rPr>
          <w:rFonts w:ascii="KoPubWorld바탕체_Pro Light" w:hAnsi="KoPubWorld바탕체_Pro Light" w:eastAsia="KoPubWorld바탕체_Pro Light" w:cs="KoPubWorld바탕체_Pro Light"/>
          <w:sz w:val="16"/>
        </w:rPr>
        <w:t>국소 설명의 한계도 있다. 한 사람에게 중요한 변수만 알려 주면 시스템 전체에서 특정 집단에 불리한 패턴은 보이지 않는다. 개인 설명권과 별도로 감독자는 집단별 승인·금리·오류율, 시간에 따른 드리프트와 이의신청 결과를 볼 수 있어야 한다. 개인 구제와 구조적 감사를 함께 설계해야 한다.</w:t>
      </w:r>
    </w:p>
    <w:p>
      <w:pPr>
        <w:pStyle w:val="aff3"/>
        <w:spacing w:line="259" w:lineRule="auto"/>
      </w:pPr>
      <w:r>
        <w:rPr>
          <w:rFonts w:ascii="KoPubWorld바탕체_Pro Light" w:hAnsi="KoPubWorld바탕체_Pro Light" w:eastAsia="KoPubWorld바탕체_Pro Light" w:cs="KoPubWorld바탕체_Pro Light"/>
          <w:sz w:val="16"/>
        </w:rPr>
        <w:t>인간 재심사도 이름만으로 충분하지 않다. 담당자가 모델 점수를 거의 항상 그대로 승인한다면 인간은 책임의 장식이 된다. 반대로 근거 없이 자주 뒤집으면 일관성과 차별 방지의 장점이 사라진다. 재심사자는 필요한 정보와 권한, 충분한 시간을 가지고 독립적으로 판단하며 뒤집은 이유를 기록해야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금융 AI 가이드라인에서 기본법으로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금융위원회는 2021년 7월 금융분야 AI 가이드라인을 발표했다. 금융회사에 AI 윤리원칙, 전담조직과 위험관리정책이라는 내부통제 틀을 마련하고, 학습데이터 조사·검증, 개인신용정보 보호, 불합리한 차별 방지와 소비자 설명·권리 보장을 요구하는 모범규준이었다.</w:t>
      </w:r>
      <w:r>
        <w:rPr>
          <w:rFonts w:ascii="KoPubWorld바탕체_Pro Light" w:hAnsi="KoPubWorld바탕체_Pro Light" w:eastAsia="KoPubWorld바탕체_Pro Light" w:cs="KoPubWorld바탕체_Pro Light"/>
          <w:sz w:val="14"/>
          <w:vertAlign w:val="superscript"/>
        </w:rPr>
        <w:t>213</w:t>
      </w:r>
      <w:r>
        <w:rPr>
          <w:rFonts w:ascii="KoPubWorld바탕체_Pro Light" w:hAnsi="KoPubWorld바탕체_Pro Light" w:eastAsia="KoPubWorld바탕체_Pro Light" w:cs="KoPubWorld바탕체_Pro Light"/>
          <w:sz w:val="16"/>
        </w:rPr>
        <w:t xml:space="preserve"> 법률의 벌칙보다 감독상 기대와 자율규범을 먼저 세운 접근이다.</w:t>
      </w:r>
    </w:p>
    <w:p>
      <w:pPr>
        <w:pStyle w:val="aff3"/>
        <w:spacing w:line="259" w:lineRule="auto"/>
      </w:pPr>
      <w:r>
        <w:rPr>
          <w:rFonts w:ascii="KoPubWorld바탕체_Pro Light" w:hAnsi="KoPubWorld바탕체_Pro Light" w:eastAsia="KoPubWorld바탕체_Pro Light" w:cs="KoPubWorld바탕체_Pro Light"/>
          <w:sz w:val="16"/>
        </w:rPr>
        <w:t>가이드라인은 빠르게 변하는 기술에 유연하지만 집행력과 적용 범위가 약할 수 있다. 회사마다 ‘적정한 설명’과 공정성 검증을 다르게 해석하고, 외부 모델 공급자에게 책임을 넘길 수 있다. 모범규준에서 얻은 운영 경험을 법률과 세부 감독기준에 연결하는 과정이 필요했다.</w:t>
      </w:r>
      <w:r>
        <w:rPr>
          <w:rFonts w:ascii="KoPubWorld바탕체_Pro Light" w:hAnsi="KoPubWorld바탕체_Pro Light" w:eastAsia="KoPubWorld바탕체_Pro Light" w:cs="KoPubWorld바탕체_Pro Light"/>
          <w:sz w:val="14"/>
          <w:vertAlign w:val="superscript"/>
        </w:rPr>
        <w:t>213</w:t>
      </w:r>
    </w:p>
    <w:p>
      <w:pPr>
        <w:pStyle w:val="aff3"/>
        <w:spacing w:line="259" w:lineRule="auto"/>
      </w:pPr>
      <w:r>
        <w:rPr>
          <w:rFonts w:ascii="KoPubWorld바탕체_Pro Light" w:hAnsi="KoPubWorld바탕체_Pro Light" w:eastAsia="KoPubWorld바탕체_Pro Light" w:cs="KoPubWorld바탕체_Pro Light"/>
          <w:sz w:val="16"/>
        </w:rPr>
        <w:t>‘인공지능 발전과 신뢰 기반 조성 등에 관한 기본법’은 2025년 1월 21일 제정되어 2026년 1월 22일 시행되었고, 2026년 1월 20일 일부 개정된 시행본이 적용되고 있다.</w:t>
      </w:r>
      <w:r>
        <w:rPr>
          <w:rFonts w:ascii="KoPubWorld바탕체_Pro Light" w:hAnsi="KoPubWorld바탕체_Pro Light" w:eastAsia="KoPubWorld바탕체_Pro Light" w:cs="KoPubWorld바탕체_Pro Light"/>
          <w:sz w:val="14"/>
          <w:vertAlign w:val="superscript"/>
        </w:rPr>
        <w:t>214</w:t>
      </w:r>
      <w:r>
        <w:rPr>
          <w:rFonts w:ascii="KoPubWorld바탕체_Pro Light" w:hAnsi="KoPubWorld바탕체_Pro Light" w:eastAsia="KoPubWorld바탕체_Pro Light" w:cs="KoPubWorld바탕체_Pro Light"/>
          <w:sz w:val="16"/>
        </w:rPr>
        <w:t xml:space="preserve"> 이 법은 대출 심사처럼 개인의 권리·의무에 중대한 영향을 미치는 영역의 인공지능을 고영향 인공지능 판단 대상으로 다룬다.</w:t>
      </w:r>
      <w:r>
        <w:rPr>
          <w:rFonts w:ascii="KoPubWorld바탕체_Pro Light" w:hAnsi="KoPubWorld바탕체_Pro Light" w:eastAsia="KoPubWorld바탕체_Pro Light" w:cs="KoPubWorld바탕체_Pro Light"/>
          <w:sz w:val="14"/>
          <w:vertAlign w:val="superscript"/>
        </w:rPr>
        <w:t>214</w:t>
      </w:r>
    </w:p>
    <w:p>
      <w:pPr>
        <w:pStyle w:val="aff3"/>
        <w:spacing w:line="259" w:lineRule="auto"/>
      </w:pPr>
      <w:r>
        <w:rPr>
          <w:rFonts w:ascii="KoPubWorld바탕체_Pro Light" w:hAnsi="KoPubWorld바탕체_Pro Light" w:eastAsia="KoPubWorld바탕체_Pro Light" w:cs="KoPubWorld바탕체_Pro Light"/>
          <w:sz w:val="16"/>
        </w:rPr>
        <w:t>고영향 인공지능 사업자는 이용자에게 사용 사실을 알리고, 위험관리·설명과 이용자 보호, 인간의 관리·감독과 관련 문서 보존 등의 조치를 취해야 한다. 영향평가는 법이 정한 방식으로 권고되는 장치다.</w:t>
      </w:r>
      <w:r>
        <w:rPr>
          <w:rFonts w:ascii="KoPubWorld바탕체_Pro Light" w:hAnsi="KoPubWorld바탕체_Pro Light" w:eastAsia="KoPubWorld바탕체_Pro Light" w:cs="KoPubWorld바탕체_Pro Light"/>
          <w:sz w:val="14"/>
          <w:vertAlign w:val="superscript"/>
        </w:rPr>
        <w:t>214</w:t>
      </w:r>
      <w:r>
        <w:rPr>
          <w:rFonts w:ascii="KoPubWorld바탕체_Pro Light" w:hAnsi="KoPubWorld바탕체_Pro Light" w:eastAsia="KoPubWorld바탕체_Pro Light" w:cs="KoPubWorld바탕체_Pro Light"/>
          <w:sz w:val="16"/>
        </w:rPr>
        <w:t xml:space="preserve"> 2026년 7월 현재 이 법은 이미 시행 중이므로 ‘향후 시행 예정’이라고 쓰면 틀린다.</w:t>
      </w:r>
    </w:p>
    <w:p>
      <w:pPr>
        <w:pStyle w:val="aff3"/>
        <w:spacing w:line="259" w:lineRule="auto"/>
      </w:pPr>
      <w:r>
        <w:rPr>
          <w:rFonts w:ascii="KoPubWorld바탕체_Pro Light" w:hAnsi="KoPubWorld바탕체_Pro Light" w:eastAsia="KoPubWorld바탕체_Pro Light" w:cs="KoPubWorld바탕체_Pro Light"/>
          <w:sz w:val="16"/>
        </w:rPr>
        <w:t>다만 기본법이 금융의 모든 특수 규칙을 대체하지 않는다. 신용정보법의 자동평가 권리, 개인정보보호법의 자동화 결정, 금융소비자보호법의 설명·적합성, 은행의 내부통제와 모델 검증이 겹쳐 적용될 수 있다. 중복은 혼란을 만들지만 서로 다른 위험을 다루는 보완 관계이기도 하다. 감독당국 사이의 해석과 정보공유가 중요하다.</w:t>
      </w:r>
      <w:r>
        <w:rPr>
          <w:rFonts w:ascii="KoPubWorld바탕체_Pro Light" w:hAnsi="KoPubWorld바탕체_Pro Light" w:eastAsia="KoPubWorld바탕체_Pro Light" w:cs="KoPubWorld바탕체_Pro Light"/>
          <w:sz w:val="14"/>
          <w:vertAlign w:val="superscript"/>
        </w:rPr>
        <w:t>214</w:t>
      </w:r>
      <w:r>
        <w:rPr>
          <w:rFonts w:ascii="KoPubWorld바탕체_Pro Light" w:hAnsi="KoPubWorld바탕체_Pro Light" w:eastAsia="KoPubWorld바탕체_Pro Light" w:cs="KoPubWorld바탕체_Pro Light"/>
          <w:sz w:val="14"/>
          <w:vertAlign w:val="superscript"/>
        </w:rPr>
        <w:t>186</w:t>
      </w:r>
      <w:r>
        <w:rPr>
          <w:rFonts w:ascii="KoPubWorld바탕체_Pro Light" w:hAnsi="KoPubWorld바탕체_Pro Light" w:eastAsia="KoPubWorld바탕체_Pro Light" w:cs="KoPubWorld바탕체_Pro Light"/>
          <w:sz w:val="14"/>
          <w:vertAlign w:val="superscript"/>
        </w:rPr>
        <w:t>212</w:t>
      </w:r>
      <w:r>
        <w:rPr>
          <w:rFonts w:ascii="KoPubWorld바탕체_Pro Light" w:hAnsi="KoPubWorld바탕체_Pro Light" w:eastAsia="KoPubWorld바탕체_Pro Light" w:cs="KoPubWorld바탕체_Pro Light"/>
          <w:sz w:val="14"/>
          <w:vertAlign w:val="superscript"/>
        </w:rPr>
        <w:t>174</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유럽의 고위험 분류와 움직이는 시행일</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유럽연합 AI법, Regulation (EU) 2024/1689는 2024년 8월 1일 발효됐다. 자연인의 신용도나 신용점수를 평가해 금융자원과 필수 서비스 접근을 좌우하는 AI 시스템을 원칙적으로 고위험 범주에 넣는다. 금융사기 탐지와 건전성 자본 계산을 위한 일부 시스템은 같은 방식으로 보지 않는다.</w:t>
      </w:r>
      <w:r>
        <w:rPr>
          <w:rFonts w:ascii="KoPubWorld바탕체_Pro Light" w:hAnsi="KoPubWorld바탕체_Pro Light" w:eastAsia="KoPubWorld바탕체_Pro Light" w:cs="KoPubWorld바탕체_Pro Light"/>
          <w:sz w:val="14"/>
          <w:vertAlign w:val="superscript"/>
        </w:rPr>
        <w:t>215</w:t>
      </w:r>
    </w:p>
    <w:p>
      <w:pPr>
        <w:pStyle w:val="aff3"/>
        <w:spacing w:line="259" w:lineRule="auto"/>
      </w:pPr>
      <w:r>
        <w:rPr>
          <w:rFonts w:ascii="KoPubWorld바탕체_Pro Light" w:hAnsi="KoPubWorld바탕체_Pro Light" w:eastAsia="KoPubWorld바탕체_Pro Light" w:cs="KoPubWorld바탕체_Pro Light"/>
          <w:sz w:val="16"/>
        </w:rPr>
        <w:t>고위험 체계는 위험관리, 데이터 거버넌스, 기술문서와 기록, 투명성, 인간 감독, 정확성·견고성과 사이버보안을 요구한다.</w:t>
      </w:r>
      <w:r>
        <w:rPr>
          <w:rFonts w:ascii="KoPubWorld바탕체_Pro Light" w:hAnsi="KoPubWorld바탕체_Pro Light" w:eastAsia="KoPubWorld바탕체_Pro Light" w:cs="KoPubWorld바탕체_Pro Light"/>
          <w:sz w:val="14"/>
          <w:vertAlign w:val="superscript"/>
        </w:rPr>
        <w:t>215</w:t>
      </w:r>
      <w:r>
        <w:rPr>
          <w:rFonts w:ascii="KoPubWorld바탕체_Pro Light" w:hAnsi="KoPubWorld바탕체_Pro Light" w:eastAsia="KoPubWorld바탕체_Pro Light" w:cs="KoPubWorld바탕체_Pro Light"/>
          <w:sz w:val="16"/>
        </w:rPr>
        <w:t xml:space="preserve"> 이는 개별 고객에게 이유 한 줄을 제공하는 것보다 넓다. 시장에 내놓기 전부터 모델의 수명주기와 책임 체계를 문서화하고 사후 성능을 감시하는 제품안전식 접근이다.</w:t>
      </w:r>
    </w:p>
    <w:p>
      <w:pPr>
        <w:pStyle w:val="aff3"/>
        <w:spacing w:line="259" w:lineRule="auto"/>
      </w:pPr>
      <w:r>
        <w:rPr>
          <w:rFonts w:ascii="KoPubWorld바탕체_Pro Light" w:hAnsi="KoPubWorld바탕체_Pro Light" w:eastAsia="KoPubWorld바탕체_Pro Light" w:cs="KoPubWorld바탕체_Pro Light"/>
          <w:sz w:val="16"/>
        </w:rPr>
        <w:t>시행 일정은 2026년 7월 현재 특히 조심해서 써야 한다. 원래 AI법 본문은 대부분의 규정을 2026년 8월 2일부터 적용하도록 정했다. 금지행위와 AI 리터러시 의무는 2025년 2월 2일, 거버넌스와 범용 AI 일부 의무는 2025년 8월 2일부터 먼저 적용됐다.</w:t>
      </w:r>
      <w:r>
        <w:rPr>
          <w:rFonts w:ascii="KoPubWorld바탕체_Pro Light" w:hAnsi="KoPubWorld바탕체_Pro Light" w:eastAsia="KoPubWorld바탕체_Pro Light" w:cs="KoPubWorld바탕체_Pro Light"/>
          <w:sz w:val="14"/>
          <w:vertAlign w:val="superscript"/>
        </w:rPr>
        <w:t>215</w:t>
      </w:r>
      <w:r>
        <w:rPr>
          <w:rFonts w:ascii="KoPubWorld바탕체_Pro Light" w:hAnsi="KoPubWorld바탕체_Pro Light" w:eastAsia="KoPubWorld바탕체_Pro Light" w:cs="KoPubWorld바탕체_Pro Light"/>
          <w:sz w:val="14"/>
          <w:vertAlign w:val="superscript"/>
        </w:rPr>
        <w:t>216</w:t>
      </w:r>
    </w:p>
    <w:p>
      <w:pPr>
        <w:pStyle w:val="aff3"/>
        <w:spacing w:line="259" w:lineRule="auto"/>
      </w:pPr>
      <w:r>
        <w:rPr>
          <w:rFonts w:ascii="KoPubWorld바탕체_Pro Light" w:hAnsi="KoPubWorld바탕체_Pro Light" w:eastAsia="KoPubWorld바탕체_Pro Light" w:cs="KoPubWorld바탕체_Pro Light"/>
          <w:sz w:val="16"/>
        </w:rPr>
        <w:t>그러나 유럽연합 공동입법자들은 2026년 5월 7일 ‘AI 디지털 옴니버스’ 잠정 합의에서 독립형 고위험 AI 규칙을 2027년 12월 2일로, 규제제품 내장형은 2028년 8월 2일로 늦추는 일정에 합의했다.</w:t>
      </w:r>
      <w:r>
        <w:rPr>
          <w:rFonts w:ascii="KoPubWorld바탕체_Pro Light" w:hAnsi="KoPubWorld바탕체_Pro Light" w:eastAsia="KoPubWorld바탕체_Pro Light" w:cs="KoPubWorld바탕체_Pro Light"/>
          <w:sz w:val="14"/>
          <w:vertAlign w:val="superscript"/>
        </w:rPr>
        <w:t>217</w:t>
      </w:r>
      <w:r>
        <w:rPr>
          <w:rFonts w:ascii="KoPubWorld바탕체_Pro Light" w:hAnsi="KoPubWorld바탕체_Pro Light" w:eastAsia="KoPubWorld바탕체_Pro Light" w:cs="KoPubWorld바탕체_Pro Light"/>
          <w:sz w:val="16"/>
        </w:rPr>
        <w:t xml:space="preserve"> 공식 발표는 이를 ‘잠정 합의’라고 명시했다. 2026년 7월 12일 현재 이 변경을 이미 관보에 공포된 확정 개정법으로 단정해서는 안 된다. 원법의 일정과 개정 절차의 진행 상태를 함께 밝혀야 한다.</w:t>
      </w:r>
    </w:p>
    <w:p>
      <w:pPr>
        <w:pStyle w:val="aff3"/>
        <w:spacing w:line="259" w:lineRule="auto"/>
      </w:pPr>
      <w:r>
        <w:rPr>
          <w:rFonts w:ascii="KoPubWorld바탕체_Pro Light" w:hAnsi="KoPubWorld바탕체_Pro Light" w:eastAsia="KoPubWorld바탕체_Pro Light" w:cs="KoPubWorld바탕체_Pro Light"/>
          <w:sz w:val="16"/>
        </w:rPr>
        <w:t>일정의 이동은 규제가 무효라는 뜻이 아니다. 금융회사는 기존의 데이터보호·은행감독과 차별금지 의무를 계속 지고, 향후 고위험 요건에 맞출 시스템을 준비해야 한다. 표준과 지침이 늦는다고 모델의 사회적 영향이 멈추는 것도 아니다. 유예기간은 증거와 통제를 쌓는 시간이어야지 책임을 미루는 면허가 아니다.</w:t>
      </w:r>
    </w:p>
    <w:p>
      <w:pPr>
        <w:spacing w:before="120" w:after="0"/>
      </w:pPr>
    </w:p>
    <w:p>
      <w:pPr>
        <w:pStyle w:val="aff4"/>
        <w:keepNext/>
        <w:jc w:val="left"/>
      </w:pPr>
      <w:r>
        <w:rPr>
          <w:rFonts w:ascii="Noto Sans CJK KR" w:hAnsi="Noto Sans CJK KR" w:eastAsia="Noto Sans CJK KR" w:cs="Noto Sans CJK KR"/>
          <w:b/>
          <w:sz w:val="20"/>
        </w:rPr>
        <w:t>모델을 빌려도 책임은 빌릴 수 없다</w:t>
      </w:r>
    </w:p>
    <w:p>
      <w:pPr>
        <w:pStyle w:val="aff3"/>
        <w:spacing w:line="259" w:lineRule="auto"/>
      </w:pPr>
      <w:r>
        <w:rPr>
          <w:rFonts w:ascii="KoPubWorld바탕체_Pro Light" w:hAnsi="KoPubWorld바탕체_Pro Light" w:eastAsia="KoPubWorld바탕체_Pro Light" w:cs="KoPubWorld바탕체_Pro Light"/>
          <w:sz w:val="16"/>
        </w:rPr>
        <w:t>금융회사는 외부 신용평가사, 클라우드 AI와 범용모델을 조합해 서비스를 만든다. 모델을 직접 개발하지 않았더라도 어떤 데이터와 프롬프트를 넣고, 결과를 대출 결정에 얼마나 반영할지는 금융회사가 정한다. 공급자의 영업비밀을 이유로 검증하지 못하는 모델을 중요 결정에 쓰면 책임 없는 자동화가 된다.</w:t>
      </w:r>
    </w:p>
    <w:p>
      <w:pPr>
        <w:pStyle w:val="aff3"/>
        <w:spacing w:line="259" w:lineRule="auto"/>
      </w:pPr>
      <w:r>
        <w:rPr>
          <w:rFonts w:ascii="KoPubWorld바탕체_Pro Light" w:hAnsi="KoPubWorld바탕체_Pro Light" w:eastAsia="KoPubWorld바탕체_Pro Light" w:cs="KoPubWorld바탕체_Pro Light"/>
          <w:sz w:val="16"/>
        </w:rPr>
        <w:t>감사 추적은 설명과 책임의 공통 기반이다. 어떤 모델 버전, 입력자료와 정책문턱이 특정 결정을 만들었는지 재현할 수 있어야 고객의 이의와 감독 검사를 처리한다. 로그를 무기한 보관할 수는 없으므로 영향의 크기와 법정 분쟁기간에 맞는 보존·접근·삭제 규칙이 필요하다.</w:t>
      </w:r>
    </w:p>
    <w:p>
      <w:pPr>
        <w:pStyle w:val="aff3"/>
        <w:spacing w:line="259" w:lineRule="auto"/>
      </w:pPr>
      <w:r>
        <w:rPr>
          <w:rFonts w:ascii="KoPubWorld바탕체_Pro Light" w:hAnsi="KoPubWorld바탕체_Pro Light" w:eastAsia="KoPubWorld바탕체_Pro Light" w:cs="KoPubWorld바탕체_Pro Light"/>
          <w:sz w:val="16"/>
        </w:rPr>
        <w:t>계약에는 학습·업데이트 통지, 성능과 편향 시험권, 로그 접근, 사고 보고, 하도급과 데이터 위치, 종료·모델 이전 조건이 들어가야 한다. 모델이 예고 없이 업데이트되면 어제 검증한 성능이 오늘의 성능을 보증하지 않는다. 중요 변경을 승인하고 롤백할 능력이 필요하다.</w:t>
      </w:r>
    </w:p>
    <w:p>
      <w:pPr>
        <w:pStyle w:val="aff3"/>
        <w:spacing w:line="259" w:lineRule="auto"/>
      </w:pPr>
      <w:r>
        <w:rPr>
          <w:rFonts w:ascii="KoPubWorld바탕체_Pro Light" w:hAnsi="KoPubWorld바탕체_Pro Light" w:eastAsia="KoPubWorld바탕체_Pro Light" w:cs="KoPubWorld바탕체_Pro Light"/>
          <w:sz w:val="16"/>
        </w:rPr>
        <w:t>독립 검증은 개발팀의 정확도 보고서를 다시 읽는 일이 아니다. 데이터 대표성, 목표변수, 과적합과 안정성, 집단별 결과, 스트레스 상황과 운영 통제를 별도의 시선으로 시험한다. 출시 뒤에는 승인율과 손실, 민원·재심사, 경제환경 변화에 따른 드리프트를 감시하고 중단 기준을 정해야 한다.</w:t>
      </w:r>
    </w:p>
    <w:p>
      <w:pPr>
        <w:pStyle w:val="aff3"/>
        <w:spacing w:line="259" w:lineRule="auto"/>
      </w:pPr>
      <w:r>
        <w:rPr>
          <w:rFonts w:ascii="KoPubWorld바탕체_Pro Light" w:hAnsi="KoPubWorld바탕체_Pro Light" w:eastAsia="KoPubWorld바탕체_Pro Light" w:cs="KoPubWorld바탕체_Pro Light"/>
          <w:sz w:val="16"/>
        </w:rPr>
        <w:t>생성형 AI가 상담과 문서 심사에 들어오면 출력의 확률성과 비결정성이 커진다. 같은 질문에 다른 답을 내거나 존재하지 않는 규정을 말할 수 있다. 신용결정의 핵심 근거는 재현 가능하게 기록하고, 생성 결과를 검증 없이 고객 통지나 계약 조건으로 사용하지 않도록 경계를 세워야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설명 가능한 사회적 선택</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알고리즘 신용평가의 목표는 모든 사람에게 대출을 승인하는 것이 아니다. 갚을 수 있는 사람을 더 정확히 찾고, 오류와 차별을 줄이며, 거절된 사람이 이유를 알고 다시 경제활동에 참여할 길을 남기는 것이다. 정확도와 포용, 개인정보와 설명은 서로 충돌할 수 있으므로 어느 하나의 지표로 자동 최적화할 수 없다.</w:t>
      </w:r>
    </w:p>
    <w:p>
      <w:pPr>
        <w:pStyle w:val="aff3"/>
        <w:spacing w:line="259" w:lineRule="auto"/>
      </w:pPr>
      <w:r>
        <w:rPr>
          <w:rFonts w:ascii="KoPubWorld바탕체_Pro Light" w:hAnsi="KoPubWorld바탕체_Pro Light" w:eastAsia="KoPubWorld바탕체_Pro Light" w:cs="KoPubWorld바탕체_Pro Light"/>
          <w:sz w:val="16"/>
        </w:rPr>
        <w:t>규제자는 모델의 소스코드를 대신 설계할 필요가 없다. 그러나 금융회사가 어떤 손실 함수를 선택했고 어떤 집단에 오류가 집중되는지, 이의를 제기하면 실제 인간 판단이 이루어지는지 물어야 한다. 모델이 복잡할수록 책임선은 더 단순하고 분명해야 한다. 이사회가 목적과 위험 한도를 승인하고, 개발자·사업부·검증자와 외부 공급자의 역할을 기록해야 한다.</w:t>
      </w:r>
    </w:p>
    <w:p>
      <w:pPr>
        <w:pStyle w:val="aff3"/>
        <w:spacing w:line="259" w:lineRule="auto"/>
      </w:pPr>
      <w:r>
        <w:rPr>
          <w:rFonts w:ascii="KoPubWorld바탕체_Pro Light" w:hAnsi="KoPubWorld바탕체_Pro Light" w:eastAsia="KoPubWorld바탕체_Pro Light" w:cs="KoPubWorld바탕체_Pro Light"/>
          <w:sz w:val="16"/>
        </w:rPr>
        <w:t>AI는 신용배분의 역사를 완전히 새로 쓰지 않는다. 조선의 전당물, 개발금융의 행정 배정, 은행의 신용점수도 누가 돈에 접근할지를 분류했다. 달라진 것은 분류의 규모와 속도, 그리고 판단이 보이지 않는 코드 속에서 복제될 수 있다는 점이다.</w:t>
      </w:r>
    </w:p>
    <w:p>
      <w:pPr>
        <w:pStyle w:val="aff3"/>
        <w:spacing w:line="259" w:lineRule="auto"/>
      </w:pPr>
      <w:r>
        <w:rPr>
          <w:rFonts w:ascii="KoPubWorld바탕체_Pro Light" w:hAnsi="KoPubWorld바탕체_Pro Light" w:eastAsia="KoPubWorld바탕체_Pro Light" w:cs="KoPubWorld바탕체_Pro Light"/>
          <w:sz w:val="16"/>
        </w:rPr>
        <w:t>금융규제의 마지막 질문은 기술보다 정치적이다. 더 낮은 부도율을 위해 어느 정도의 금융 배제를 받아들일 것인가. 과거 데이터의 불평등을 미래 가격에 얼마나 반영할 것인가. 설명을 영업비밀보다 어디까지 우선할 것인가. 좋은 AI 규제는 이 선택을 모델 뒤에 숨기지 않고 사람이 이해하고 이의를 제기할 수 있는 공적 절차로 되돌린다. 돈의 약속을 지키는 일은 결국 판단의 책임을 지는 일이다.</w:t>
      </w:r>
    </w:p>
    <w:p>
      <w:r>
        <w:br w:type="page"/>
      </w:r>
    </w:p>
    <w:p>
      <w:pPr>
        <w:spacing w:before="680" w:after="0"/>
      </w:pPr>
    </w:p>
    <w:p>
      <w:pPr>
        <w:pStyle w:val="aff9"/>
        <w:jc w:val="center"/>
      </w:pPr>
      <w:r>
        <w:rPr>
          <w:rFonts w:ascii="Noto Sans CJK KR" w:hAnsi="Noto Sans CJK KR" w:eastAsia="Noto Sans CJK KR" w:cs="Noto Sans CJK KR"/>
          <w:b/>
          <w:sz w:val="22"/>
        </w:rPr>
        <w:t>맺음말</w:t>
      </w:r>
    </w:p>
    <w:p>
      <w:pPr>
        <w:pStyle w:val="affa"/>
        <w:jc w:val="center"/>
      </w:pPr>
      <w:r>
        <w:rPr>
          <w:rFonts w:ascii="KoPubWorld바탕체_Pro Bold" w:hAnsi="KoPubWorld바탕체_Pro Bold" w:eastAsia="KoPubWorld바탕체_Pro Bold" w:cs="KoPubWorld바탕체_Pro Bold"/>
          <w:b/>
          <w:sz w:val="36"/>
        </w:rPr>
        <w:t>위기를 기억하는 기술</w:t>
      </w:r>
    </w:p>
    <w:p>
      <w:pPr>
        <w:spacing w:before="240" w:after="0"/>
      </w:pPr>
    </w:p>
    <w:p>
      <w:pPr>
        <w:pStyle w:val="aff3"/>
        <w:spacing w:line="259" w:lineRule="auto"/>
      </w:pPr>
      <w:r>
        <w:rPr>
          <w:rFonts w:ascii="KoPubWorld바탕체_Pro Light" w:hAnsi="KoPubWorld바탕체_Pro Light" w:eastAsia="KoPubWorld바탕체_Pro Light" w:cs="KoPubWorld바탕체_Pro Light"/>
          <w:sz w:val="16"/>
        </w:rPr>
        <w:t>금융규제의 역사는 같은 결론으로 여러 번 돌아왔다. 신용은 경제를 움직이지만 동시에 미래의 소득을 오늘의 지출로 끌어온다. 이 약속이 늘어날수록 성장은 빨라지고, 약속을 의심하는 순간의 충격도 커진다. 규제는 이 모순을 없애지 못한다. 다만 약속이 깨졌을 때 실패가 어디에서 멈출지, 누가 먼저 손실을 부담할지, 지급결제와 신용공급을 어떻게 이어갈지 미리 설계할 수 있다.</w:t>
      </w:r>
    </w:p>
    <w:p>
      <w:pPr>
        <w:pStyle w:val="aff3"/>
        <w:spacing w:line="259" w:lineRule="auto"/>
      </w:pPr>
      <w:r>
        <w:rPr>
          <w:rFonts w:ascii="KoPubWorld바탕체_Pro Light" w:hAnsi="KoPubWorld바탕체_Pro Light" w:eastAsia="KoPubWorld바탕체_Pro Light" w:cs="KoPubWorld바탕체_Pro Light"/>
          <w:sz w:val="16"/>
        </w:rPr>
        <w:t>고대의 채무구제는 농업재해가 채무자의 영구예속으로 번지는 것을 막으려 했다. 중세의 이자금지는 돈이 돈을 낳는 행위를 도덕의 언어로 다뤘지만, 계약은 환어음과 동업의 형태로 우회했다. 유한책임은 더 많은 사람이 기업에 투자하도록 만들었지만 손실의 일부를 채권자에게 넘겼다. 중앙은행은 공황의 불을 끄는 소방대가 되었지만 누구에게 유동성을 줄 것인지 결정하는 권력을 얻었다. 예금보험은 예금자의 공포를 줄였지만 경영자와 채권자의 경계를 다시 그어야 했다.</w:t>
      </w:r>
    </w:p>
    <w:p>
      <w:pPr>
        <w:pStyle w:val="aff3"/>
        <w:spacing w:line="259" w:lineRule="auto"/>
      </w:pPr>
      <w:r>
        <w:rPr>
          <w:rFonts w:ascii="KoPubWorld바탕체_Pro Light" w:hAnsi="KoPubWorld바탕체_Pro Light" w:eastAsia="KoPubWorld바탕체_Pro Light" w:cs="KoPubWorld바탕체_Pro Light"/>
          <w:sz w:val="16"/>
        </w:rPr>
        <w:t>20세기 후반 금융세계화는 국경을 넘는 자금의 속도를 높였다. 감독권은 국내에 남았고, 국제기준은 법적 강제력보다 서로의 약속에 의존했다. 위험가중자산과 내부모형은 감독을 정교하게 만들었지만 같은 숫자를 믿는 시장을 만들었다. 2008년 이후 자본, 유동성, 레버리지, 중앙청산, 정리계획, 스트레스테스트가 한꺼번에 강화된 것은 한 가지 비율만으로 시스템을 지킬 수 없다는 학습의 결과였다.</w:t>
      </w:r>
    </w:p>
    <w:p>
      <w:pPr>
        <w:pStyle w:val="aff3"/>
        <w:spacing w:line="259" w:lineRule="auto"/>
      </w:pPr>
      <w:r>
        <w:rPr>
          <w:rFonts w:ascii="KoPubWorld바탕체_Pro Light" w:hAnsi="KoPubWorld바탕체_Pro Light" w:eastAsia="KoPubWorld바탕체_Pro Light" w:cs="KoPubWorld바탕체_Pro Light"/>
          <w:sz w:val="16"/>
        </w:rPr>
        <w:t>한국의 경로도 같은 질문을 다른 방식으로 보여준다. 개발국가에서 금융규제는 부실을 감시하는 장치이기 전에 산업자금을 배분하는 장치였다. 자유화는 가격과 진입의 통제를 줄였지만 외화유동성, 기업지배구조, 통합감독이라는 새 과제를 만들었다. 1997년 이후의 제도는 시장규율을 강화하면서도 위기 때 공공자금과 행정조정에 다시 의존했다. 가계부채와 높은 디지털 이용률은 오늘의 한국 금융규제를 세계 어느 곳과도 같지 않게 만든다.</w:t>
      </w:r>
    </w:p>
    <w:p>
      <w:pPr>
        <w:pStyle w:val="aff3"/>
        <w:spacing w:line="259" w:lineRule="auto"/>
      </w:pPr>
      <w:r>
        <w:rPr>
          <w:rFonts w:ascii="KoPubWorld바탕체_Pro Light" w:hAnsi="KoPubWorld바탕체_Pro Light" w:eastAsia="KoPubWorld바탕체_Pro Light" w:cs="KoPubWorld바탕체_Pro Light"/>
          <w:sz w:val="16"/>
        </w:rPr>
        <w:t>이 긴 역사에서 좋은 금융규제의 조건을 일곱 가지로 정리할 수 있다. 첫째, 규제의 경계가 위험의 기능을 따라가야 한다. 은행과 같은 만기변환을 하면서 은행이 아니라는 이유로 같은 안전장치에서 벗어나면 위험은 이름만 바꾼다. 둘째, 손실부담의 순서를 평상시에 정해야 한다. 위기 한복판에서 규칙을 만들면 힘이 큰 채권자와 기관이 유리해진다.</w:t>
      </w:r>
    </w:p>
    <w:p>
      <w:pPr>
        <w:pStyle w:val="aff3"/>
        <w:spacing w:line="259" w:lineRule="auto"/>
      </w:pPr>
      <w:r>
        <w:rPr>
          <w:rFonts w:ascii="KoPubWorld바탕체_Pro Light" w:hAnsi="KoPubWorld바탕체_Pro Light" w:eastAsia="KoPubWorld바탕체_Pro Light" w:cs="KoPubWorld바탕체_Pro Light"/>
          <w:sz w:val="16"/>
        </w:rPr>
        <w:t>셋째, 자본과 유동성을 구분해야 한다. 자산가치가 부채보다 많아도 오늘 지급할 현금이 없으면 은행은 무너질 수 있다. 반대로 중앙은행의 유동성만으로 이미 자본이 소진된 기관을 살리면 손실을 미래로 미룬다. 넷째, 실패할 수 있도록 만들어야 한다. 중요한 금융기관을 결코 파산시키지 않겠다는 약속은 가장 위험한 보조금이 된다. 정리계획과 손실흡수채무, 핵심기능의 이전은 실패를 금지하는 대신 실패가 번지는 길을 끊는 장치다.</w:t>
      </w:r>
    </w:p>
    <w:p>
      <w:pPr>
        <w:pStyle w:val="aff3"/>
        <w:spacing w:line="259" w:lineRule="auto"/>
      </w:pPr>
      <w:r>
        <w:rPr>
          <w:rFonts w:ascii="KoPubWorld바탕체_Pro Light" w:hAnsi="KoPubWorld바탕체_Pro Light" w:eastAsia="KoPubWorld바탕체_Pro Light" w:cs="KoPubWorld바탕체_Pro Light"/>
          <w:sz w:val="16"/>
        </w:rPr>
        <w:t>다섯째, 정보는 많기보다 이해 가능해야 한다. 수백 쪽의 투자설명서와 복잡한 위험모형은 책임을 분산하는 방패가 될 수 있다. 소비자와 투자자가 실제로 판단할 정보, 감독자가 반박할 수 있는 모델, 이사회가 책임질 수 있는 보고체계가 필요하다. 여섯째, 법문보다 집행역량을 보아야 한다. 같은 규칙도 검사주기, 데이터, 인력, 조직문화, 제재의 일관성에 따라 다른 결과를 낳는다.</w:t>
      </w:r>
    </w:p>
    <w:p>
      <w:pPr>
        <w:pStyle w:val="aff3"/>
        <w:spacing w:line="259" w:lineRule="auto"/>
      </w:pPr>
      <w:r>
        <w:rPr>
          <w:rFonts w:ascii="KoPubWorld바탕체_Pro Light" w:hAnsi="KoPubWorld바탕체_Pro Light" w:eastAsia="KoPubWorld바탕체_Pro Light" w:cs="KoPubWorld바탕체_Pro Light"/>
          <w:sz w:val="16"/>
        </w:rPr>
        <w:t>일곱째, 규제를 다시 볼 날짜를 정해야 한다. 위기 직후의 규칙은 당시의 취약성에 맞춰져 있고 금융은 곧 다른 경계를 찾는다. 규제완화가 필요할 때도 있다. 그러나 비용이 보인다는 이유만으로 편익을 잊어서는 안 되고, 위기의 기억만으로 새 기술을 모두 오래된 틀에 가두어서도 안 된다. 사후평가의 목적은 규제를 지키거나 없애는 것이 아니라 위험과 비용의 실제 이동을 확인하는 데 있다.</w:t>
      </w:r>
    </w:p>
    <w:p>
      <w:pPr>
        <w:pStyle w:val="aff3"/>
        <w:spacing w:line="259" w:lineRule="auto"/>
      </w:pPr>
      <w:r>
        <w:rPr>
          <w:rFonts w:ascii="KoPubWorld바탕체_Pro Light" w:hAnsi="KoPubWorld바탕체_Pro Light" w:eastAsia="KoPubWorld바탕체_Pro Light" w:cs="KoPubWorld바탕체_Pro Light"/>
          <w:sz w:val="16"/>
        </w:rPr>
        <w:t>가상자산, 스테이블코인, 클라우드, 인공지능은 금융규제의 오래된 질문을 다시 꺼낸다. 누가 돈과 비슷한 약속을 발행할 수 있는가. 고객의 자산은 누구의 장부와 재산에서 분리되는가. 핵심 서비스가 소수 기술기업에 집중될 때 누가 복원력을 검사하는가. 알고리즘이 대출을 거절할 때 고객은 이유를 듣고 이의를 제기할 수 있는가. 기술은 새롭지만 손실, 정보, 권한, 책임의 문제는 낯설지 않다.</w:t>
      </w:r>
    </w:p>
    <w:p>
      <w:pPr>
        <w:pStyle w:val="aff3"/>
        <w:spacing w:line="259" w:lineRule="auto"/>
      </w:pPr>
      <w:r>
        <w:rPr>
          <w:rFonts w:ascii="KoPubWorld바탕체_Pro Light" w:hAnsi="KoPubWorld바탕체_Pro Light" w:eastAsia="KoPubWorld바탕체_Pro Light" w:cs="KoPubWorld바탕체_Pro Light"/>
          <w:sz w:val="16"/>
        </w:rPr>
        <w:t>금융규제의 가장 큰 적은 복잡성만이 아니다. 망각이다. 위기가 지나면 규제의 비용은 매일 보이고, 규제가 막은 붕괴는 보이지 않는다. 그렇다고 모든 위기 뒤의 규칙을 영구히 보존할 수는 없다. 필요한 것은 기억을 제도로 바꾸되 제도를 다시 질문하는 능력이다. 금융규제는 완성될 수 없다. 좋은 금융규제는 다음 위기를 정확히 예언하는 규칙이 아니라, 예측하지 못한 실패 앞에서도 사회가 작동하도록 여지를 남기는 규칙이다.</w:t>
      </w:r>
    </w:p>
    <w:p>
      <w:pPr>
        <w:pStyle w:val="aff3"/>
        <w:spacing w:line="259" w:lineRule="auto"/>
      </w:pPr>
      <w:r>
        <w:rPr>
          <w:rFonts w:ascii="KoPubWorld바탕체_Pro Light" w:hAnsi="KoPubWorld바탕체_Pro Light" w:eastAsia="KoPubWorld바탕체_Pro Light" w:cs="KoPubWorld바탕체_Pro Light"/>
          <w:sz w:val="16"/>
        </w:rPr>
        <w:t>돈의 약속은 앞으로도 깨질 것이다. 중요한 것은 그때마다 같은 사람들이 모든 손실을 떠안지 않도록, 공포가 지급결제와 실물경제 전체를 멈추지 않도록, 구제가 특권의 다른 이름이 되지 않도록 미리 길을 그어 두는 일이다. 금융규제의 작은 역사는 결국 위기를 기억하는 기술의 역사다.</w:t>
      </w:r>
    </w:p>
    <w:p>
      <w:r>
        <w:br w:type="page"/>
      </w:r>
    </w:p>
    <w:p>
      <w:pPr>
        <w:spacing w:before="960" w:after="0"/>
      </w:pPr>
    </w:p>
    <w:p>
      <w:pPr>
        <w:pStyle w:val="aff9"/>
        <w:jc w:val="center"/>
      </w:pPr>
      <w:r>
        <w:rPr>
          <w:rFonts w:ascii="Noto Sans CJK KR" w:hAnsi="Noto Sans CJK KR" w:eastAsia="Noto Sans CJK KR" w:cs="Noto Sans CJK KR"/>
          <w:b/>
          <w:sz w:val="22"/>
        </w:rPr>
        <w:t>부록</w:t>
      </w:r>
    </w:p>
    <w:p>
      <w:pPr>
        <w:pStyle w:val="affa"/>
        <w:jc w:val="center"/>
      </w:pPr>
      <w:r>
        <w:rPr>
          <w:rFonts w:ascii="KoPubWorld바탕체_Pro Bold" w:hAnsi="KoPubWorld바탕체_Pro Bold" w:eastAsia="KoPubWorld바탕체_Pro Bold" w:cs="KoPubWorld바탕체_Pro Bold"/>
          <w:b/>
          <w:sz w:val="36"/>
        </w:rPr>
        <w:t>연표, 개념, 기관과 사료</w:t>
      </w:r>
    </w:p>
    <w:p>
      <w:pPr>
        <w:pStyle w:val="affb"/>
        <w:jc w:val="center"/>
      </w:pPr>
      <w:r>
        <w:rPr>
          <w:rFonts w:ascii="KoPubWorld바탕체_Pro Light" w:hAnsi="KoPubWorld바탕체_Pro Light" w:eastAsia="KoPubWorld바탕체_Pro Light" w:cs="KoPubWorld바탕체_Pro Light"/>
          <w:sz w:val="19"/>
        </w:rPr>
        <w:t>본문의 위기와 제도를 다시 찾아볼 수 있도록 시간·개념·기관의 지도를 모았다.</w:t>
      </w:r>
    </w:p>
    <w:p>
      <w:pPr>
        <w:spacing w:before="320" w:after="0"/>
      </w:pPr>
    </w:p>
    <w:p>
      <w:pPr>
        <w:keepNext/>
        <w:jc w:val="center"/>
      </w:pPr>
      <w:r>
        <w:drawing>
          <wp:inline xmlns:a="http://schemas.openxmlformats.org/drawingml/2006/main" xmlns:pic="http://schemas.openxmlformats.org/drawingml/2006/picture">
            <wp:extent cx="3337560" cy="1878376"/>
            <wp:docPr id="20" name="Picture 20" descr="세계 금융규제 연표와 연결망" title="세계 금융규제 연표와 연결망"/>
            <wp:cNvGraphicFramePr>
              <a:graphicFrameLocks noChangeAspect="1"/>
            </wp:cNvGraphicFramePr>
            <a:graphic>
              <a:graphicData uri="http://schemas.openxmlformats.org/drawingml/2006/picture">
                <pic:pic>
                  <pic:nvPicPr>
                    <pic:cNvPr id="0" name="part3_crossborder_gray_q86.jpg"/>
                    <pic:cNvPicPr/>
                  </pic:nvPicPr>
                  <pic:blipFill>
                    <a:blip r:embed="rId46"/>
                    <a:stretch>
                      <a:fillRect/>
                    </a:stretch>
                  </pic:blipFill>
                  <pic:spPr>
                    <a:xfrm>
                      <a:off x="0" y="0"/>
                      <a:ext cx="3337560" cy="1878376"/>
                    </a:xfrm>
                    <a:prstGeom prst="rect"/>
                  </pic:spPr>
                </pic:pic>
              </a:graphicData>
            </a:graphic>
          </wp:inline>
        </w:drawing>
      </w:r>
    </w:p>
    <w:p>
      <w:r>
        <w:br w:type="page"/>
      </w:r>
    </w:p>
    <w:p>
      <w:pPr>
        <w:spacing w:before="360" w:after="0"/>
      </w:pPr>
    </w:p>
    <w:p>
      <w:pPr>
        <w:pStyle w:val="aff1"/>
        <w:jc w:val="center"/>
      </w:pPr>
      <w:r>
        <w:rPr>
          <w:rFonts w:ascii="KoPubWorld바탕체_Pro Bold" w:hAnsi="KoPubWorld바탕체_Pro Bold" w:eastAsia="KoPubWorld바탕체_Pro Bold" w:cs="KoPubWorld바탕체_Pro Bold"/>
          <w:b/>
          <w:sz w:val="28"/>
        </w:rPr>
        <w:t>부록 1. 세계 금융규제 연표: 기원전 2100년경-2026년</w:t>
      </w:r>
    </w:p>
    <w:p>
      <w:pPr>
        <w:spacing w:before="100" w:after="0"/>
      </w:pPr>
    </w:p>
    <w:p>
      <w:pPr>
        <w:pStyle w:val="aff3"/>
        <w:spacing w:line="259" w:lineRule="auto"/>
      </w:pPr>
      <w:r>
        <w:rPr>
          <w:rFonts w:ascii="KoPubWorld바탕체_Pro Light" w:hAnsi="KoPubWorld바탕체_Pro Light" w:eastAsia="KoPubWorld바탕체_Pro Light" w:cs="KoPubWorld바탕체_Pro Light"/>
          <w:sz w:val="16"/>
        </w:rPr>
        <w:t>이 연표는 법이 공포된 날, 기관이 실제로 업무를 시작한 날, 국제기준이 발표된 날과 각국에서 시행된 날을 구별한다. 바젤위원회·금융안정위원회의 문서는 조약이나 초국가 법률이 아니다. 국내법과 감독규정으로 옮겨질 때 비로소 금융회사에 직접 적용된다. 따라서 ‘세계가 어느 날 하나의 규칙을 채택했다’기보다, 위기가 공통의 어휘를 만들고 각 관할이 다른 속도로 번역해 온 과정으로 읽어야 한다.</w:t>
      </w:r>
      <w:r>
        <w:rPr>
          <w:rFonts w:ascii="KoPubWorld바탕체_Pro Light" w:hAnsi="KoPubWorld바탕체_Pro Light" w:eastAsia="KoPubWorld바탕체_Pro Light" w:cs="KoPubWorld바탕체_Pro Light"/>
          <w:sz w:val="14"/>
          <w:vertAlign w:val="superscript"/>
        </w:rPr>
        <w:t>76</w:t>
      </w:r>
      <w:r>
        <w:rPr>
          <w:rFonts w:ascii="KoPubWorld바탕체_Pro Light" w:hAnsi="KoPubWorld바탕체_Pro Light" w:eastAsia="KoPubWorld바탕체_Pro Light" w:cs="KoPubWorld바탕체_Pro Light"/>
          <w:sz w:val="14"/>
          <w:vertAlign w:val="superscript"/>
        </w:rPr>
        <w:t>125</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빚·화폐·법인의 기초</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기원전 2100년경 이후 — 메소포타미아의 점토판은 채무액, 이자, 담보, 만기와 증인을 기록했다. 신용은 사적인 약속이면서 법정에서 입증할 수 있는 장부가 되었다.</w:t>
      </w:r>
      <w:r>
        <w:rPr>
          <w:rFonts w:ascii="KoPubWorld바탕체_Pro Light" w:hAnsi="KoPubWorld바탕체_Pro Light" w:eastAsia="KoPubWorld바탕체_Pro Light" w:cs="KoPubWorld바탕체_Pro Light"/>
          <w:sz w:val="14"/>
          <w:vertAlign w:val="superscript"/>
        </w:rPr>
        <w:t>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기원전 18세기경 — 함무라비 법전은 대부와 담보를 규율했다. 제48조는 폭풍·홍수 같은 재해로 수확이 사라진 해의 곡물채무에 관해 이자 지급을 면하게 했지만, 모든 채무에 적용되는 일반적 이자상한은 아니었다.</w:t>
      </w:r>
      <w:r>
        <w:rPr>
          <w:rFonts w:ascii="KoPubWorld바탕체_Pro Light" w:hAnsi="KoPubWorld바탕체_Pro Light" w:eastAsia="KoPubWorld바탕체_Pro Light" w:cs="KoPubWorld바탕체_Pro Light"/>
          <w:sz w:val="14"/>
          <w:vertAlign w:val="superscript"/>
        </w:rPr>
        <w:t>2</w:t>
      </w:r>
      <w:r>
        <w:rPr>
          <w:rFonts w:ascii="KoPubWorld바탕체_Pro Light" w:hAnsi="KoPubWorld바탕체_Pro Light" w:eastAsia="KoPubWorld바탕체_Pro Light" w:cs="KoPubWorld바탕체_Pro Light"/>
          <w:sz w:val="14"/>
          <w:vertAlign w:val="superscript"/>
        </w:rPr>
        <w:t>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1179년 — 제3차 라테라노 공의회 교회법 제25조는 고리대금업자를 강하게 제재했다. 종교적 금지는 신용을 없애기보다 손해배상, 환전, 동업 등 계약 형식의 재구성을 촉진했다.</w:t>
      </w:r>
      <w:r>
        <w:rPr>
          <w:rFonts w:ascii="KoPubWorld바탕체_Pro Light" w:hAnsi="KoPubWorld바탕체_Pro Light" w:eastAsia="KoPubWorld바탕체_Pro Light" w:cs="KoPubWorld바탕체_Pro Light"/>
          <w:sz w:val="14"/>
          <w:vertAlign w:val="superscript"/>
        </w:rPr>
        <w:t>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1215년 — 제4차 라테라노 공의회 교회법 제67조는 과도한 이자에 대한 규율을 다시 확인했다. 채무자의 종교와 신분에 따라 위험과 법적 지위가 다르게 배분되던 시대였다.</w:t>
      </w:r>
      <w:r>
        <w:rPr>
          <w:rFonts w:ascii="KoPubWorld바탕체_Pro Light" w:hAnsi="KoPubWorld바탕체_Pro Light" w:eastAsia="KoPubWorld바탕체_Pro Light" w:cs="KoPubWorld바탕체_Pro Light"/>
          <w:sz w:val="14"/>
          <w:vertAlign w:val="superscript"/>
        </w:rPr>
        <w:t>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1275년 — 잉글랜드의 유대인법은 유대인의 이자부 대부를 금지했다. 금융규제가 계약조건만이 아니라 누가 금융업을 할 수 있는지를 정한 진입규제이기도 했음을 보여 준다.</w:t>
      </w:r>
      <w:r>
        <w:rPr>
          <w:rFonts w:ascii="KoPubWorld바탕체_Pro Light" w:hAnsi="KoPubWorld바탕체_Pro Light" w:eastAsia="KoPubWorld바탕체_Pro Light" w:cs="KoPubWorld바탕체_Pro Light"/>
          <w:sz w:val="14"/>
          <w:vertAlign w:val="superscript"/>
        </w:rPr>
        <w:t>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1609년 — 암스테르담 환은행이 문을 열었다. 여러 품질의 주화를 장부화폐로 교환하고 결제의 기준을 제공하면서 공공은행과 지급결제 규율의 결합을 보여 주었다.</w:t>
      </w:r>
      <w:r>
        <w:rPr>
          <w:rFonts w:ascii="KoPubWorld바탕체_Pro Light" w:hAnsi="KoPubWorld바탕체_Pro Light" w:eastAsia="KoPubWorld바탕체_Pro Light" w:cs="KoPubWorld바탕체_Pro Light"/>
          <w:sz w:val="14"/>
          <w:vertAlign w:val="superscript"/>
        </w:rPr>
        <w:t>21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1694년 — 영란은행이 국왕의 특허로 설립되고 정부대출과 결합했다. 국가신용과 은행신용이 서로를 떠받치는 구조가 제도화되었다.</w:t>
      </w:r>
      <w:r>
        <w:rPr>
          <w:rFonts w:ascii="KoPubWorld바탕체_Pro Light" w:hAnsi="KoPubWorld바탕체_Pro Light" w:eastAsia="KoPubWorld바탕체_Pro Light" w:cs="KoPubWorld바탕체_Pro Light"/>
          <w:sz w:val="14"/>
          <w:vertAlign w:val="superscript"/>
        </w:rPr>
        <w:t>22</w:t>
      </w:r>
      <w:r>
        <w:rPr>
          <w:rFonts w:ascii="KoPubWorld바탕체_Pro Light" w:hAnsi="KoPubWorld바탕체_Pro Light" w:eastAsia="KoPubWorld바탕체_Pro Light" w:cs="KoPubWorld바탕체_Pro Light"/>
          <w:sz w:val="14"/>
          <w:vertAlign w:val="superscript"/>
        </w:rPr>
        <w:t>23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1696년 — 잉글랜드의 대개주화가 진행됐다. 깎이고 위조된 은화를 회수·교환하는 과정은 화폐의 금속가치, 법정가치와 국가의 신뢰가 분리될 수 없음을 드러냈다.</w:t>
      </w:r>
      <w:r>
        <w:rPr>
          <w:rFonts w:ascii="KoPubWorld바탕체_Pro Light" w:hAnsi="KoPubWorld바탕체_Pro Light" w:eastAsia="KoPubWorld바탕체_Pro Light" w:cs="KoPubWorld바탕체_Pro Light"/>
          <w:sz w:val="14"/>
          <w:vertAlign w:val="superscript"/>
        </w:rPr>
        <w:t>12</w:t>
      </w:r>
      <w:r>
        <w:rPr>
          <w:rFonts w:ascii="KoPubWorld바탕체_Pro Light" w:hAnsi="KoPubWorld바탕체_Pro Light" w:eastAsia="KoPubWorld바탕체_Pro Light" w:cs="KoPubWorld바탕체_Pro Light"/>
          <w:sz w:val="14"/>
          <w:vertAlign w:val="superscript"/>
        </w:rPr>
        <w:t>14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1720년 — 남해회사 주가가 급등하던 시기에 버블법이 통과됐다. 법은 붕괴 뒤 만들어진 사후 처벌법이 아니라 붐 한가운데 등장했고 집행도 일관되지 않았다. 그해 거품의 붕괴는 회사설립과 증권판매에 대한 정치적 감시를 강화했다.</w:t>
      </w:r>
      <w:r>
        <w:rPr>
          <w:rFonts w:ascii="KoPubWorld바탕체_Pro Light" w:hAnsi="KoPubWorld바탕체_Pro Light" w:eastAsia="KoPubWorld바탕체_Pro Light" w:cs="KoPubWorld바탕체_Pro Light"/>
          <w:sz w:val="14"/>
          <w:vertAlign w:val="superscript"/>
        </w:rPr>
        <w:t>26</w:t>
      </w:r>
      <w:r>
        <w:rPr>
          <w:rFonts w:ascii="KoPubWorld바탕체_Pro Light" w:hAnsi="KoPubWorld바탕체_Pro Light" w:eastAsia="KoPubWorld바탕체_Pro Light" w:cs="KoPubWorld바탕체_Pro Light"/>
          <w:sz w:val="14"/>
          <w:vertAlign w:val="superscript"/>
        </w:rPr>
        <w:t>25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1745년 — 교황 베네딕토 14세의 회칙 「Vix Pervenit」은 소비대차에서 원금 초과 이득을 취하는 문제를 다뤘다. 이자 논쟁이 ‘죄냐 가격이냐’라는 단일 문장으로 끝나지 않았음을 보여 주는 사료다.</w:t>
      </w:r>
      <w:r>
        <w:rPr>
          <w:rFonts w:ascii="KoPubWorld바탕체_Pro Light" w:hAnsi="KoPubWorld바탕체_Pro Light" w:eastAsia="KoPubWorld바탕체_Pro Light" w:cs="KoPubWorld바탕체_Pro Light"/>
          <w:sz w:val="14"/>
          <w:vertAlign w:val="superscript"/>
        </w:rPr>
        <w:t>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1816년 — 영국 주화법이 금본위 체계의 법적 토대를 정비했다. 국가가 통화의 단위와 교환기준을 규정하는 일은 금융계약의 측정자를 정하는 일이었다.</w:t>
      </w:r>
      <w:r>
        <w:rPr>
          <w:rFonts w:ascii="KoPubWorld바탕체_Pro Light" w:hAnsi="KoPubWorld바탕체_Pro Light" w:eastAsia="KoPubWorld바탕체_Pro Light" w:cs="KoPubWorld바탕체_Pro Light"/>
          <w:sz w:val="14"/>
          <w:vertAlign w:val="superscript"/>
        </w:rPr>
        <w:t>15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1825년 — 영국 의회가 버블법 폐지를 추진했다. 법인 설립을 억제한 규칙에서 등록·공시를 통해 법인을 허용하는 규칙으로 방향이 이동했다.</w:t>
      </w:r>
      <w:r>
        <w:rPr>
          <w:rFonts w:ascii="KoPubWorld바탕체_Pro Light" w:hAnsi="KoPubWorld바탕체_Pro Light" w:eastAsia="KoPubWorld바탕체_Pro Light" w:cs="KoPubWorld바탕체_Pro Light"/>
          <w:sz w:val="14"/>
          <w:vertAlign w:val="superscript"/>
        </w:rPr>
        <w:t>27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법인·중앙은행·공시의 시대</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1844년 — 영국의 합자회사법은 회사 등록과 공시를 제도화했고, 같은 해 은행특허법은 은행권 발행을 규율했다. 시장을 막는 금지에서 장부를 보이게 하는 등록으로 규제기술이 바뀌었다.</w:t>
      </w:r>
      <w:r>
        <w:rPr>
          <w:rFonts w:ascii="KoPubWorld바탕체_Pro Light" w:hAnsi="KoPubWorld바탕체_Pro Light" w:eastAsia="KoPubWorld바탕체_Pro Light" w:cs="KoPubWorld바탕체_Pro Light"/>
          <w:sz w:val="14"/>
          <w:vertAlign w:val="superscript"/>
        </w:rPr>
        <w:t>28</w:t>
      </w:r>
      <w:r>
        <w:rPr>
          <w:rFonts w:ascii="KoPubWorld바탕체_Pro Light" w:hAnsi="KoPubWorld바탕체_Pro Light" w:eastAsia="KoPubWorld바탕체_Pro Light" w:cs="KoPubWorld바탕체_Pro Light"/>
          <w:sz w:val="14"/>
          <w:vertAlign w:val="superscript"/>
        </w:rPr>
        <w:t>32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1854년 — 영국이 일반적 고리대금법을 폐지했다. 가격상한의 완화는 계약 자유를 넓혔지만, 정보·협상력·강제집행의 불균형을 해결하지는 않았다.</w:t>
      </w:r>
      <w:r>
        <w:rPr>
          <w:rFonts w:ascii="KoPubWorld바탕체_Pro Light" w:hAnsi="KoPubWorld바탕체_Pro Light" w:eastAsia="KoPubWorld바탕체_Pro Light" w:cs="KoPubWorld바탕체_Pro Light"/>
          <w:sz w:val="14"/>
          <w:vertAlign w:val="superscript"/>
        </w:rPr>
        <w:t>10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1855년 — 유한책임법이 주주의 손실을 출자액 안으로 제한했다. 위험자본을 모으기 쉬워진 만큼 채권자에게는 등록, 회계와 공시가 더 중요해졌다.</w:t>
      </w:r>
      <w:r>
        <w:rPr>
          <w:rFonts w:ascii="KoPubWorld바탕체_Pro Light" w:hAnsi="KoPubWorld바탕체_Pro Light" w:eastAsia="KoPubWorld바탕체_Pro Light" w:cs="KoPubWorld바탕체_Pro Light"/>
          <w:sz w:val="14"/>
          <w:vertAlign w:val="superscript"/>
        </w:rPr>
        <w:t>31</w:t>
      </w:r>
      <w:r>
        <w:rPr>
          <w:rFonts w:ascii="KoPubWorld바탕체_Pro Light" w:hAnsi="KoPubWorld바탕체_Pro Light" w:eastAsia="KoPubWorld바탕체_Pro Light" w:cs="KoPubWorld바탕체_Pro Light"/>
          <w:sz w:val="14"/>
          <w:vertAlign w:val="superscript"/>
        </w:rPr>
        <w:t>30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1863-1864년 — 미국 국민은행법이 연방인가 은행과 통일적 은행권, 통화감독청 체계를 만들었다. 중앙은행 없이도 국가 단위의 은행제도를 만들려 한 실험이었다.</w:t>
      </w:r>
      <w:r>
        <w:rPr>
          <w:rFonts w:ascii="KoPubWorld바탕체_Pro Light" w:hAnsi="KoPubWorld바탕체_Pro Light" w:eastAsia="KoPubWorld바탕체_Pro Light" w:cs="KoPubWorld바탕체_Pro Light"/>
          <w:sz w:val="14"/>
          <w:vertAlign w:val="superscript"/>
        </w:rPr>
        <w:t>35</w:t>
      </w:r>
      <w:r>
        <w:rPr>
          <w:rFonts w:ascii="KoPubWorld바탕체_Pro Light" w:hAnsi="KoPubWorld바탕체_Pro Light" w:eastAsia="KoPubWorld바탕체_Pro Light" w:cs="KoPubWorld바탕체_Pro Light"/>
          <w:sz w:val="14"/>
          <w:vertAlign w:val="superscript"/>
        </w:rPr>
        <w:t>37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1866년 — 오버렌드 거니가 무너지고 영란은행이 위기 유동성을 공급했다. 누구를 어떤 조건으로 구할 것인지가 중앙은행 정책의 공개적 질문이 됐다.</w:t>
      </w:r>
      <w:r>
        <w:rPr>
          <w:rFonts w:ascii="KoPubWorld바탕체_Pro Light" w:hAnsi="KoPubWorld바탕체_Pro Light" w:eastAsia="KoPubWorld바탕체_Pro Light" w:cs="KoPubWorld바탕체_Pro Light"/>
          <w:sz w:val="14"/>
          <w:vertAlign w:val="superscript"/>
        </w:rPr>
        <w:t>20</w:t>
      </w:r>
      <w:r>
        <w:rPr>
          <w:rFonts w:ascii="KoPubWorld바탕체_Pro Light" w:hAnsi="KoPubWorld바탕체_Pro Light" w:eastAsia="KoPubWorld바탕체_Pro Light" w:cs="KoPubWorld바탕체_Pro Light"/>
          <w:sz w:val="14"/>
          <w:vertAlign w:val="superscript"/>
        </w:rPr>
        <w:t>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1873년 — 월터 배저트가 「롬바드 스트리트」를 출간했다. 공황 때 충분히 대출하되 좋은 담보와 높은 금리를 요구하라는 처방은 이후 최종대부자 논의의 기준점이 됐다.</w:t>
      </w:r>
      <w:r>
        <w:rPr>
          <w:rFonts w:ascii="KoPubWorld바탕체_Pro Light" w:hAnsi="KoPubWorld바탕체_Pro Light" w:eastAsia="KoPubWorld바탕체_Pro Light" w:cs="KoPubWorld바탕체_Pro Light"/>
          <w:sz w:val="14"/>
          <w:vertAlign w:val="superscript"/>
        </w:rPr>
        <w:t>34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1882년 — 영국 환어음법이 환어음·수표·약속어음의 주요 규칙을 성문화했다. 국경과 상관을 넘어 움직이던 상인관행이 국가법의 문장으로 정리됐다.</w:t>
      </w:r>
      <w:r>
        <w:rPr>
          <w:rFonts w:ascii="KoPubWorld바탕체_Pro Light" w:hAnsi="KoPubWorld바탕체_Pro Light" w:eastAsia="KoPubWorld바탕체_Pro Light" w:cs="KoPubWorld바탕체_Pro Light"/>
          <w:sz w:val="14"/>
          <w:vertAlign w:val="superscript"/>
        </w:rPr>
        <w:t>17</w:t>
      </w:r>
      <w:r>
        <w:rPr>
          <w:rFonts w:ascii="KoPubWorld바탕체_Pro Light" w:hAnsi="KoPubWorld바탕체_Pro Light" w:eastAsia="KoPubWorld바탕체_Pro Light" w:cs="KoPubWorld바탕체_Pro Light"/>
          <w:sz w:val="14"/>
          <w:vertAlign w:val="superscript"/>
        </w:rPr>
        <w:t>19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1907년 — 뉴욕의 신탁회사에서 시작된 공황을 J. P. 모건을 중심으로 한 민간 연합이 수습했다. 민간 구제의 속도와 자의성은 공적 최종대부자 필요성을 부각했다.</w:t>
      </w:r>
      <w:r>
        <w:rPr>
          <w:rFonts w:ascii="KoPubWorld바탕체_Pro Light" w:hAnsi="KoPubWorld바탕체_Pro Light" w:eastAsia="KoPubWorld바탕체_Pro Light" w:cs="KoPubWorld바탕체_Pro Light"/>
          <w:sz w:val="14"/>
          <w:vertAlign w:val="superscript"/>
        </w:rPr>
        <w:t>39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1910년 — 지킬섬 회의에서 미국 중앙은행 설계가 비공개로 논의됐다. 지역·민간·공공 권력의 균형 문제가 연준의 분산 구조에 남았다.</w:t>
      </w:r>
      <w:r>
        <w:rPr>
          <w:rFonts w:ascii="KoPubWorld바탕체_Pro Light" w:hAnsi="KoPubWorld바탕체_Pro Light" w:eastAsia="KoPubWorld바탕체_Pro Light" w:cs="KoPubWorld바탕체_Pro Light"/>
          <w:sz w:val="14"/>
          <w:vertAlign w:val="superscript"/>
        </w:rPr>
        <w:t>42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1913년 — 연방준비법이 제정됐다. 연준이 통화와 재할인, 지급결제의 중심이 되었지만 감독권은 여러 연방·주 기관에 계속 나뉘었다.</w:t>
      </w:r>
      <w:r>
        <w:rPr>
          <w:rFonts w:ascii="KoPubWorld바탕체_Pro Light" w:hAnsi="KoPubWorld바탕체_Pro Light" w:eastAsia="KoPubWorld바탕체_Pro Light" w:cs="KoPubWorld바탕체_Pro Light"/>
          <w:sz w:val="14"/>
          <w:vertAlign w:val="superscript"/>
        </w:rPr>
        <w:t>40</w:t>
      </w:r>
      <w:r>
        <w:rPr>
          <w:rFonts w:ascii="KoPubWorld바탕체_Pro Light" w:hAnsi="KoPubWorld바탕체_Pro Light" w:eastAsia="KoPubWorld바탕체_Pro Light" w:cs="KoPubWorld바탕체_Pro Light"/>
          <w:sz w:val="14"/>
          <w:vertAlign w:val="superscript"/>
        </w:rPr>
        <w:t>43</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대공황과 전후 울타리</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1929년 10월 — 미국 주가가 급락했다. 폭락 그 자체보다 이후 생산·소득 감소와 은행공황, 정책실패가 금융과 실물의 장기 붕괴를 만들었다.</w:t>
      </w:r>
      <w:r>
        <w:rPr>
          <w:rFonts w:ascii="KoPubWorld바탕체_Pro Light" w:hAnsi="KoPubWorld바탕체_Pro Light" w:eastAsia="KoPubWorld바탕체_Pro Light" w:cs="KoPubWorld바탕체_Pro Light"/>
          <w:sz w:val="14"/>
          <w:vertAlign w:val="superscript"/>
        </w:rPr>
        <w:t>45</w:t>
      </w:r>
      <w:r>
        <w:rPr>
          <w:rFonts w:ascii="KoPubWorld바탕체_Pro Light" w:hAnsi="KoPubWorld바탕체_Pro Light" w:eastAsia="KoPubWorld바탕체_Pro Light" w:cs="KoPubWorld바탕체_Pro Light"/>
          <w:sz w:val="14"/>
          <w:vertAlign w:val="superscript"/>
        </w:rPr>
        <w:t>44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1930-1933년 — 여러 차례 은행공황이 예금인출과 자산 급매를 증폭했다. 연방 차원의 예금보호와 은행정리 요구가 정치적 중심으로 이동했다.</w:t>
      </w:r>
      <w:r>
        <w:rPr>
          <w:rFonts w:ascii="KoPubWorld바탕체_Pro Light" w:hAnsi="KoPubWorld바탕체_Pro Light" w:eastAsia="KoPubWorld바탕체_Pro Light" w:cs="KoPubWorld바탕체_Pro Light"/>
          <w:sz w:val="14"/>
          <w:vertAlign w:val="superscript"/>
        </w:rPr>
        <w:t>47</w:t>
      </w:r>
      <w:r>
        <w:rPr>
          <w:rFonts w:ascii="KoPubWorld바탕체_Pro Light" w:hAnsi="KoPubWorld바탕체_Pro Light" w:eastAsia="KoPubWorld바탕체_Pro Light" w:cs="KoPubWorld바탕체_Pro Light"/>
          <w:sz w:val="14"/>
          <w:vertAlign w:val="superscript"/>
        </w:rPr>
        <w:t>48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1933년 3월 — 전국 은행휴업과 심사를 거친 재개방이 공황의 속도를 끊었다. 같은 해 은행법은 연방예금보험공사를 만들고 상업은행과 증권업 사이의 일부 업무를 분리했다. ‘글래스-스티걸’은 이 법 전체가 아니라 관련 조항을 가리킨다.</w:t>
      </w:r>
      <w:r>
        <w:rPr>
          <w:rFonts w:ascii="KoPubWorld바탕체_Pro Light" w:hAnsi="KoPubWorld바탕체_Pro Light" w:eastAsia="KoPubWorld바탕체_Pro Light" w:cs="KoPubWorld바탕체_Pro Light"/>
          <w:sz w:val="14"/>
          <w:vertAlign w:val="superscript"/>
        </w:rPr>
        <w:t>49</w:t>
      </w:r>
      <w:r>
        <w:rPr>
          <w:rFonts w:ascii="KoPubWorld바탕체_Pro Light" w:hAnsi="KoPubWorld바탕체_Pro Light" w:eastAsia="KoPubWorld바탕체_Pro Light" w:cs="KoPubWorld바탕체_Pro Light"/>
          <w:sz w:val="14"/>
          <w:vertAlign w:val="superscript"/>
        </w:rPr>
        <w:t>46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1933년 5월 — 증권법이 발행시장 등록·공시와 허위표시에 대한 책임을 강화했다. 수익을 보장하기보다 투자판단에 필요한 정보를 내놓게 하는 규제였다.</w:t>
      </w:r>
      <w:r>
        <w:rPr>
          <w:rFonts w:ascii="KoPubWorld바탕체_Pro Light" w:hAnsi="KoPubWorld바탕체_Pro Light" w:eastAsia="KoPubWorld바탕체_Pro Light" w:cs="KoPubWorld바탕체_Pro Light"/>
          <w:sz w:val="14"/>
          <w:vertAlign w:val="superscript"/>
        </w:rPr>
        <w:t>52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1934년 6월 — 증권거래법이 유통시장과 거래소 규율을 확대하고 증권거래위원회를 설치했다. 발행인의 공시, 중개인의 행위와 시장감시가 한 제도권 안에 묶였다.</w:t>
      </w:r>
      <w:r>
        <w:rPr>
          <w:rFonts w:ascii="KoPubWorld바탕체_Pro Light" w:hAnsi="KoPubWorld바탕체_Pro Light" w:eastAsia="KoPubWorld바탕체_Pro Light" w:cs="KoPubWorld바탕체_Pro Light"/>
          <w:sz w:val="14"/>
          <w:vertAlign w:val="superscript"/>
        </w:rPr>
        <w:t>53</w:t>
      </w:r>
      <w:r>
        <w:rPr>
          <w:rFonts w:ascii="KoPubWorld바탕체_Pro Light" w:hAnsi="KoPubWorld바탕체_Pro Light" w:eastAsia="KoPubWorld바탕체_Pro Light" w:cs="KoPubWorld바탕체_Pro Light"/>
          <w:sz w:val="14"/>
          <w:vertAlign w:val="superscript"/>
        </w:rPr>
        <w:t>51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1944년 7월 — 브레턴우즈 회의가 고정환율 중심의 전후 질서와 IMF·세계은행의 설계를 합의했다. 자본이동 통제는 일탈이 아니라 국내정책 공간을 지키는 허용된 장치였다.</w:t>
      </w:r>
      <w:r>
        <w:rPr>
          <w:rFonts w:ascii="KoPubWorld바탕체_Pro Light" w:hAnsi="KoPubWorld바탕체_Pro Light" w:eastAsia="KoPubWorld바탕체_Pro Light" w:cs="KoPubWorld바탕체_Pro Light"/>
          <w:sz w:val="14"/>
          <w:vertAlign w:val="superscript"/>
        </w:rPr>
        <w:t>54</w:t>
      </w:r>
      <w:r>
        <w:rPr>
          <w:rFonts w:ascii="KoPubWorld바탕체_Pro Light" w:hAnsi="KoPubWorld바탕체_Pro Light" w:eastAsia="KoPubWorld바탕체_Pro Light" w:cs="KoPubWorld바탕체_Pro Light"/>
          <w:sz w:val="14"/>
          <w:vertAlign w:val="superscript"/>
        </w:rPr>
        <w:t>58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1945년 12월 — IMF 협정문이 발효됐다. 전후 국제통화질서는 환율, 국제수지 지원과 자본이동을 국가 간 협력의 대상으로 만들었다.</w:t>
      </w:r>
      <w:r>
        <w:rPr>
          <w:rFonts w:ascii="KoPubWorld바탕체_Pro Light" w:hAnsi="KoPubWorld바탕체_Pro Light" w:eastAsia="KoPubWorld바탕체_Pro Light" w:cs="KoPubWorld바탕체_Pro Light"/>
          <w:sz w:val="14"/>
          <w:vertAlign w:val="superscript"/>
        </w:rPr>
        <w:t>56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1951년 — 미국 재무부와 연준의 협정이 국채금리 고정 지원을 끝내고 통화정책의 자율성을 회복하는 계기가 됐다.</w:t>
      </w:r>
      <w:r>
        <w:rPr>
          <w:rFonts w:ascii="KoPubWorld바탕체_Pro Light" w:hAnsi="KoPubWorld바탕체_Pro Light" w:eastAsia="KoPubWorld바탕체_Pro Light" w:cs="KoPubWorld바탕체_Pro Light"/>
          <w:sz w:val="14"/>
          <w:vertAlign w:val="superscript"/>
        </w:rPr>
        <w:t>63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1961년 — OECD 자본이동 자유화 규약이 단계적 자유화와 유보의 틀을 제공했다. 국경 개방은 한 번의 폐지가 아니라 국가별 의무와 예외의 누적 과정이었다.</w:t>
      </w:r>
      <w:r>
        <w:rPr>
          <w:rFonts w:ascii="KoPubWorld바탕체_Pro Light" w:hAnsi="KoPubWorld바탕체_Pro Light" w:eastAsia="KoPubWorld바탕체_Pro Light" w:cs="KoPubWorld바탕체_Pro Light"/>
          <w:sz w:val="14"/>
          <w:vertAlign w:val="superscript"/>
        </w:rPr>
        <w:t>73</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세계화와 공통 기준</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1971년 8월 — 미국이 달러의 금 태환을 중단했다. 고정환율의 중심 고리가 끊기며 환율·금리 위험과 파생거래의 중요성이 커졌다.</w:t>
      </w:r>
      <w:r>
        <w:rPr>
          <w:rFonts w:ascii="KoPubWorld바탕체_Pro Light" w:hAnsi="KoPubWorld바탕체_Pro Light" w:eastAsia="KoPubWorld바탕체_Pro Light" w:cs="KoPubWorld바탕체_Pro Light"/>
          <w:sz w:val="14"/>
          <w:vertAlign w:val="superscript"/>
        </w:rPr>
        <w:t>65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1973년 — 주요 통화가 변동환율로 이동했다. 환율위험은 정부의 고정 약속에서 금융회사의 시장·모델 위험관리로 옮겨 갔다.</w:t>
      </w:r>
      <w:r>
        <w:rPr>
          <w:rFonts w:ascii="KoPubWorld바탕체_Pro Light" w:hAnsi="KoPubWorld바탕체_Pro Light" w:eastAsia="KoPubWorld바탕체_Pro Light" w:cs="KoPubWorld바탕체_Pro Light"/>
          <w:sz w:val="14"/>
          <w:vertAlign w:val="superscript"/>
        </w:rPr>
        <w:t>66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1974년 6월 — 헤르슈타트은행 폐쇄가 시간대가 다른 외환결제의 원금위험을 드러냈다. 같은 해 말 G10 중앙은행 총재들이 바젤은행감독위원회를 설치했다.</w:t>
      </w:r>
      <w:r>
        <w:rPr>
          <w:rFonts w:ascii="KoPubWorld바탕체_Pro Light" w:hAnsi="KoPubWorld바탕체_Pro Light" w:eastAsia="KoPubWorld바탕체_Pro Light" w:cs="KoPubWorld바탕체_Pro Light"/>
          <w:sz w:val="14"/>
          <w:vertAlign w:val="superscript"/>
        </w:rPr>
        <w:t>76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1980년 — 미국 예금기관 규제완화·통화통제법이 예금금리 규제의 단계적 폐지와 연준 지급준비 체계의 확대를 담았다. 가격규제 완화와 안전망 확대가 함께 진행됐다.</w:t>
      </w:r>
      <w:r>
        <w:rPr>
          <w:rFonts w:ascii="KoPubWorld바탕체_Pro Light" w:hAnsi="KoPubWorld바탕체_Pro Light" w:eastAsia="KoPubWorld바탕체_Pro Light" w:cs="KoPubWorld바탕체_Pro Light"/>
          <w:sz w:val="14"/>
          <w:vertAlign w:val="superscript"/>
        </w:rPr>
        <w:t>69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1986년 10월 — 런던 ‘빅뱅’이 증권거래소의 고정수수료와 업무장벽을 허물었다. 같은 해 금융서비스법은 경쟁 확대에 맞춰 투자업 규율의 새 틀을 만들었다.</w:t>
      </w:r>
      <w:r>
        <w:rPr>
          <w:rFonts w:ascii="KoPubWorld바탕체_Pro Light" w:hAnsi="KoPubWorld바탕체_Pro Light" w:eastAsia="KoPubWorld바탕체_Pro Light" w:cs="KoPubWorld바탕체_Pro Light"/>
          <w:sz w:val="14"/>
          <w:vertAlign w:val="superscript"/>
        </w:rPr>
        <w:t>68</w:t>
      </w:r>
      <w:r>
        <w:rPr>
          <w:rFonts w:ascii="KoPubWorld바탕체_Pro Light" w:hAnsi="KoPubWorld바탕체_Pro Light" w:eastAsia="KoPubWorld바탕체_Pro Light" w:cs="KoPubWorld바탕체_Pro Light"/>
          <w:sz w:val="14"/>
          <w:vertAlign w:val="superscript"/>
        </w:rPr>
        <w:t>71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1988년 7월 — 바젤 I가 국제영업 은행의 위험가중자산 대비 최소자본이라는 공통 언어를 제시했다. 단순성은 비교를 가능하게 했지만 위험가중치 사이의 규제차익도 낳았다.</w:t>
      </w:r>
      <w:r>
        <w:rPr>
          <w:rFonts w:ascii="KoPubWorld바탕체_Pro Light" w:hAnsi="KoPubWorld바탕체_Pro Light" w:eastAsia="KoPubWorld바탕체_Pro Light" w:cs="KoPubWorld바탕체_Pro Light"/>
          <w:sz w:val="14"/>
          <w:vertAlign w:val="superscript"/>
        </w:rPr>
        <w:t>75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1989년 — 미국 FIRREA가 저축대부조합 위기 뒤 감독·정리 체계를 재편했다. 유럽공동체의 제2차 은행지침은 단일인가와 상호인정에 기초한 시장통합을 밀어붙였다.</w:t>
      </w:r>
      <w:r>
        <w:rPr>
          <w:rFonts w:ascii="KoPubWorld바탕체_Pro Light" w:hAnsi="KoPubWorld바탕체_Pro Light" w:eastAsia="KoPubWorld바탕체_Pro Light" w:cs="KoPubWorld바탕체_Pro Light"/>
          <w:sz w:val="14"/>
          <w:vertAlign w:val="superscript"/>
        </w:rPr>
        <w:t>79</w:t>
      </w:r>
      <w:r>
        <w:rPr>
          <w:rFonts w:ascii="KoPubWorld바탕체_Pro Light" w:hAnsi="KoPubWorld바탕체_Pro Light" w:eastAsia="KoPubWorld바탕체_Pro Light" w:cs="KoPubWorld바탕체_Pro Light"/>
          <w:sz w:val="14"/>
          <w:vertAlign w:val="superscript"/>
        </w:rPr>
        <w:t>72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1996년 — 바젤위원회가 시장위험을 자본규제에 포함하는 개정을 확정했다. 내부모형은 감독규칙 안으로 들어왔고 모델 검증이 핵심 감독기술이 됐다.</w:t>
      </w:r>
      <w:r>
        <w:rPr>
          <w:rFonts w:ascii="KoPubWorld바탕체_Pro Light" w:hAnsi="KoPubWorld바탕체_Pro Light" w:eastAsia="KoPubWorld바탕체_Pro Light" w:cs="KoPubWorld바탕체_Pro Light"/>
          <w:sz w:val="14"/>
          <w:vertAlign w:val="superscript"/>
        </w:rPr>
        <w:t>80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1997년 — 아시아 외환·금융위기가 단기외화부채, 고정환율 기대와 취약한 감독의 결합을 보여 주었다. 같은 해 WTO 금융서비스 합의는 국경간 시장개방의 법적 약속을 넓혔다.</w:t>
      </w:r>
      <w:r>
        <w:rPr>
          <w:rFonts w:ascii="KoPubWorld바탕체_Pro Light" w:hAnsi="KoPubWorld바탕체_Pro Light" w:eastAsia="KoPubWorld바탕체_Pro Light" w:cs="KoPubWorld바탕체_Pro Light"/>
          <w:sz w:val="14"/>
          <w:vertAlign w:val="superscript"/>
        </w:rPr>
        <w:t>83</w:t>
      </w:r>
      <w:r>
        <w:rPr>
          <w:rFonts w:ascii="KoPubWorld바탕체_Pro Light" w:hAnsi="KoPubWorld바탕체_Pro Light" w:eastAsia="KoPubWorld바탕체_Pro Light" w:cs="KoPubWorld바탕체_Pro Light"/>
          <w:sz w:val="14"/>
          <w:vertAlign w:val="superscript"/>
        </w:rPr>
        <w:t>74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1998년 9월 — 고레버리지 헤지펀드 LTCM의 손실이 거래상대방 네트워크를 위협했다. 뉴욕연준은 공적자금을 투입하지 않고 민간 자본확충 협의를 주선했다.</w:t>
      </w:r>
      <w:r>
        <w:rPr>
          <w:rFonts w:ascii="KoPubWorld바탕체_Pro Light" w:hAnsi="KoPubWorld바탕체_Pro Light" w:eastAsia="KoPubWorld바탕체_Pro Light" w:cs="KoPubWorld바탕체_Pro Light"/>
          <w:sz w:val="14"/>
          <w:vertAlign w:val="superscript"/>
        </w:rPr>
        <w:t>91</w:t>
      </w:r>
      <w:r>
        <w:rPr>
          <w:rFonts w:ascii="KoPubWorld바탕체_Pro Light" w:hAnsi="KoPubWorld바탕체_Pro Light" w:eastAsia="KoPubWorld바탕체_Pro Light" w:cs="KoPubWorld바탕체_Pro Light"/>
          <w:sz w:val="14"/>
          <w:vertAlign w:val="superscript"/>
        </w:rPr>
        <w:t>92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1999년 — 금융안정포럼이 출범했고, 미국의 금융서비스현대화법은 은행·증권·보험 결합을 넓혔다. 감독협력의 국제화와 금융그룹의 대형화가 동시에 진행됐다.</w:t>
      </w:r>
      <w:r>
        <w:rPr>
          <w:rFonts w:ascii="KoPubWorld바탕체_Pro Light" w:hAnsi="KoPubWorld바탕체_Pro Light" w:eastAsia="KoPubWorld바탕체_Pro Light" w:cs="KoPubWorld바탕체_Pro Light"/>
          <w:sz w:val="14"/>
          <w:vertAlign w:val="superscript"/>
        </w:rPr>
        <w:t>88</w:t>
      </w:r>
      <w:r>
        <w:rPr>
          <w:rFonts w:ascii="KoPubWorld바탕체_Pro Light" w:hAnsi="KoPubWorld바탕체_Pro Light" w:eastAsia="KoPubWorld바탕체_Pro Light" w:cs="KoPubWorld바탕체_Pro Light"/>
          <w:sz w:val="14"/>
          <w:vertAlign w:val="superscript"/>
        </w:rPr>
        <w:t>93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2000년 — 미국 상품선물현대화법이 장외파생상품의 법적 확실성을 높였지만 감독공백 논쟁도 남겼다.</w:t>
      </w:r>
      <w:r>
        <w:rPr>
          <w:rFonts w:ascii="KoPubWorld바탕체_Pro Light" w:hAnsi="KoPubWorld바탕체_Pro Light" w:eastAsia="KoPubWorld바탕체_Pro Light" w:cs="KoPubWorld바탕체_Pro Light"/>
          <w:sz w:val="14"/>
          <w:vertAlign w:val="superscript"/>
        </w:rPr>
        <w:t>95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2004-2006년 — 바젤 II가 신용·시장·운영위험, 감독점검과 시장규율의 세 축을 정교화했다. 내부등급 사용은 위험민감도를 높이는 대신 자료·모델·감독역량에 더 의존하게 했다.</w:t>
      </w:r>
      <w:r>
        <w:rPr>
          <w:rFonts w:ascii="KoPubWorld바탕체_Pro Light" w:hAnsi="KoPubWorld바탕체_Pro Light" w:eastAsia="KoPubWorld바탕체_Pro Light" w:cs="KoPubWorld바탕체_Pro Light"/>
          <w:sz w:val="14"/>
          <w:vertAlign w:val="superscript"/>
        </w:rPr>
        <w:t>90</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글로벌 금융위기 이후</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2007-2008년 — 주택대출 부실이 증권화·단기자금·파생계약을 타고 세계로 퍼졌다. 2008년 9월 리먼브러더스 파산과 AIG 지원은 법적 경계가 위기 때 손실배분을 어떻게 제한하는지 드러냈다.</w:t>
      </w:r>
      <w:r>
        <w:rPr>
          <w:rFonts w:ascii="KoPubWorld바탕체_Pro Light" w:hAnsi="KoPubWorld바탕체_Pro Light" w:eastAsia="KoPubWorld바탕체_Pro Light" w:cs="KoPubWorld바탕체_Pro Light"/>
          <w:sz w:val="14"/>
          <w:vertAlign w:val="superscript"/>
        </w:rPr>
        <w:t>98</w:t>
      </w:r>
      <w:r>
        <w:rPr>
          <w:rFonts w:ascii="KoPubWorld바탕체_Pro Light" w:hAnsi="KoPubWorld바탕체_Pro Light" w:eastAsia="KoPubWorld바탕체_Pro Light" w:cs="KoPubWorld바탕체_Pro Light"/>
          <w:sz w:val="14"/>
          <w:vertAlign w:val="superscript"/>
        </w:rPr>
        <w:t>101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2008년 10월 — 미국 긴급경제안정법과 TARP가 금융회사 자본확충·부실자산 대응의 법적 틀을 제공했다. 워싱턴 G20 정상회의는 감독협력과 국제기준 개혁을 공동 의제로 만들었다.</w:t>
      </w:r>
      <w:r>
        <w:rPr>
          <w:rFonts w:ascii="KoPubWorld바탕체_Pro Light" w:hAnsi="KoPubWorld바탕체_Pro Light" w:eastAsia="KoPubWorld바탕체_Pro Light" w:cs="KoPubWorld바탕체_Pro Light"/>
          <w:sz w:val="14"/>
          <w:vertAlign w:val="superscript"/>
        </w:rPr>
        <w:t>104</w:t>
      </w:r>
      <w:r>
        <w:rPr>
          <w:rFonts w:ascii="KoPubWorld바탕체_Pro Light" w:hAnsi="KoPubWorld바탕체_Pro Light" w:eastAsia="KoPubWorld바탕체_Pro Light" w:cs="KoPubWorld바탕체_Pro Light"/>
          <w:sz w:val="14"/>
          <w:vertAlign w:val="superscript"/>
        </w:rPr>
        <w:t>103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2009년 — 미국 감독당국의 SCAP가 공개 스트레스테스트를 자본확충과 신뢰회복에 결합했다. 런던 G20은 금융안정포럼을 더 넓은 회원과 책무를 가진 금융안정위원회로 전환했다.</w:t>
      </w:r>
      <w:r>
        <w:rPr>
          <w:rFonts w:ascii="KoPubWorld바탕체_Pro Light" w:hAnsi="KoPubWorld바탕체_Pro Light" w:eastAsia="KoPubWorld바탕체_Pro Light" w:cs="KoPubWorld바탕체_Pro Light"/>
          <w:sz w:val="14"/>
          <w:vertAlign w:val="superscript"/>
        </w:rPr>
        <w:t>108</w:t>
      </w:r>
      <w:r>
        <w:rPr>
          <w:rFonts w:ascii="KoPubWorld바탕체_Pro Light" w:hAnsi="KoPubWorld바탕체_Pro Light" w:eastAsia="KoPubWorld바탕체_Pro Light" w:cs="KoPubWorld바탕체_Pro Light"/>
          <w:sz w:val="14"/>
          <w:vertAlign w:val="superscript"/>
        </w:rPr>
        <w:t>109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2010년 — 미국 도드-프랭크법이 시스템위험 감시, 질서정연한 청산, 파생상품과 소비자보호를 재편했다. 바젤 III는 보통주 중심 자본의 질과 완충자본을 강화했다.</w:t>
      </w:r>
      <w:r>
        <w:rPr>
          <w:rFonts w:ascii="KoPubWorld바탕체_Pro Light" w:hAnsi="KoPubWorld바탕체_Pro Light" w:eastAsia="KoPubWorld바탕체_Pro Light" w:cs="KoPubWorld바탕체_Pro Light"/>
          <w:sz w:val="14"/>
          <w:vertAlign w:val="superscript"/>
        </w:rPr>
        <w:t>110</w:t>
      </w:r>
      <w:r>
        <w:rPr>
          <w:rFonts w:ascii="KoPubWorld바탕체_Pro Light" w:hAnsi="KoPubWorld바탕체_Pro Light" w:eastAsia="KoPubWorld바탕체_Pro Light" w:cs="KoPubWorld바탕체_Pro Light"/>
          <w:sz w:val="14"/>
          <w:vertAlign w:val="superscript"/>
        </w:rPr>
        <w:t>116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2011년 — FSB의 「효과적인 정리체계의 핵심속성」은 대형 금융회사를 납세자 구제 없이 정리할 수 있는 권한과 계획을 국제 기준으로 제시했다. 그림자금융에 대한 별도 작업도 시작됐다.</w:t>
      </w:r>
      <w:r>
        <w:rPr>
          <w:rFonts w:ascii="KoPubWorld바탕체_Pro Light" w:hAnsi="KoPubWorld바탕체_Pro Light" w:eastAsia="KoPubWorld바탕체_Pro Light" w:cs="KoPubWorld바탕체_Pro Light"/>
          <w:sz w:val="14"/>
          <w:vertAlign w:val="superscript"/>
        </w:rPr>
        <w:t>122</w:t>
      </w:r>
      <w:r>
        <w:rPr>
          <w:rFonts w:ascii="KoPubWorld바탕체_Pro Light" w:hAnsi="KoPubWorld바탕체_Pro Light" w:eastAsia="KoPubWorld바탕체_Pro Light" w:cs="KoPubWorld바탕체_Pro Light"/>
          <w:sz w:val="14"/>
          <w:vertAlign w:val="superscript"/>
        </w:rPr>
        <w:t>97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2013년 — 유동성커버리지비율이 30일 스트레스에 견딜 고유동성자산의 최소 틀을 정했다.</w:t>
      </w:r>
      <w:r>
        <w:rPr>
          <w:rFonts w:ascii="KoPubWorld바탕체_Pro Light" w:hAnsi="KoPubWorld바탕체_Pro Light" w:eastAsia="KoPubWorld바탕체_Pro Light" w:cs="KoPubWorld바탕체_Pro Light"/>
          <w:sz w:val="14"/>
          <w:vertAlign w:val="superscript"/>
        </w:rPr>
        <w:t>117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2014년 — 순안정자금조달비율이 1년 시계에서 장기자산과 안정적 조달의 균형을 요구했다.</w:t>
      </w:r>
      <w:r>
        <w:rPr>
          <w:rFonts w:ascii="KoPubWorld바탕체_Pro Light" w:hAnsi="KoPubWorld바탕체_Pro Light" w:eastAsia="KoPubWorld바탕체_Pro Light" w:cs="KoPubWorld바탕체_Pro Light"/>
          <w:sz w:val="14"/>
          <w:vertAlign w:val="superscript"/>
        </w:rPr>
        <w:t>118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2015년 — FSB가 글로벌 시스템적 중요은행의 총손실흡수력 기준을 발표했다. 실패 전 자본과 실패 뒤 재자본화 재원을 연결하려는 장치였다.</w:t>
      </w:r>
      <w:r>
        <w:rPr>
          <w:rFonts w:ascii="KoPubWorld바탕체_Pro Light" w:hAnsi="KoPubWorld바탕체_Pro Light" w:eastAsia="KoPubWorld바탕체_Pro Light" w:cs="KoPubWorld바탕체_Pro Light"/>
          <w:sz w:val="14"/>
          <w:vertAlign w:val="superscript"/>
        </w:rPr>
        <w:t>123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2017년 — 바젤위원회가 위기 후 최종 개혁안을 발표했다. 공식 명칭은 ‘최종 바젤 III 개혁’이며, ‘바젤 IV’는 공식 기준명이 아니다.</w:t>
      </w:r>
      <w:r>
        <w:rPr>
          <w:rFonts w:ascii="KoPubWorld바탕체_Pro Light" w:hAnsi="KoPubWorld바탕체_Pro Light" w:eastAsia="KoPubWorld바탕체_Pro Light" w:cs="KoPubWorld바탕체_Pro Light"/>
          <w:sz w:val="14"/>
          <w:vertAlign w:val="superscript"/>
        </w:rPr>
        <w:t>124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2020년 3월 — 팬데믹 충격 때 국채·펀드·단기자금 시장까지 현금 확보 경쟁에 휩쓸렸다. 위기 후 강화된 은행 자본은 도움이 됐지만 비은행 유동성의 증폭 기능이 새 과제가 됐다.</w:t>
      </w:r>
      <w:r>
        <w:rPr>
          <w:rFonts w:ascii="KoPubWorld바탕체_Pro Light" w:hAnsi="KoPubWorld바탕체_Pro Light" w:eastAsia="KoPubWorld바탕체_Pro Light" w:cs="KoPubWorld바탕체_Pro Light"/>
          <w:sz w:val="14"/>
          <w:vertAlign w:val="superscript"/>
        </w:rPr>
        <w:t>218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2021년 — 바젤위원회가 운영복원력 원칙을 발표했다. 사이버·재해·제3자 장애를 ‘막을 사고’뿐 아니라 허용한도 안에서 견디고 회복할 사건으로 다루기 시작했다.</w:t>
      </w:r>
      <w:r>
        <w:rPr>
          <w:rFonts w:ascii="KoPubWorld바탕체_Pro Light" w:hAnsi="KoPubWorld바탕체_Pro Light" w:eastAsia="KoPubWorld바탕체_Pro Light" w:cs="KoPubWorld바탕체_Pro Light"/>
          <w:sz w:val="14"/>
          <w:vertAlign w:val="superscript"/>
        </w:rPr>
        <w:t>205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2022년 9-12월 — 영국 장기국채시장에서 LDI 펀드의 레버리지와 마진콜이 급매를 증폭했다. 중앙은행의 한시 매입 뒤 유동성 완충과 운영준비 기준이 강화됐다.</w:t>
      </w:r>
      <w:r>
        <w:rPr>
          <w:rFonts w:ascii="KoPubWorld바탕체_Pro Light" w:hAnsi="KoPubWorld바탕체_Pro Light" w:eastAsia="KoPubWorld바탕체_Pro Light" w:cs="KoPubWorld바탕체_Pro Light"/>
          <w:sz w:val="14"/>
          <w:vertAlign w:val="superscript"/>
        </w:rPr>
        <w:t>219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2023년 — 실리콘밸리은행 등 미국 은행의 급속한 예금이탈과 크레디트스위스 위기가 금리위험, 무보험예금, 디지털 런과 감독집행의 문제를 다시 드러냈다.</w:t>
      </w:r>
      <w:r>
        <w:rPr>
          <w:rFonts w:ascii="KoPubWorld바탕체_Pro Light" w:hAnsi="KoPubWorld바탕체_Pro Light" w:eastAsia="KoPubWorld바탕체_Pro Light" w:cs="KoPubWorld바탕체_Pro Light"/>
          <w:sz w:val="14"/>
          <w:vertAlign w:val="superscript"/>
        </w:rPr>
        <w:t>119</w:t>
      </w:r>
      <w:r>
        <w:rPr>
          <w:rFonts w:ascii="KoPubWorld바탕체_Pro Light" w:hAnsi="KoPubWorld바탕체_Pro Light" w:eastAsia="KoPubWorld바탕체_Pro Light" w:cs="KoPubWorld바탕체_Pro Light"/>
          <w:sz w:val="14"/>
          <w:vertAlign w:val="superscript"/>
        </w:rPr>
        <w:t>126</w:t>
      </w:r>
      <w:r>
        <w:rPr>
          <w:rFonts w:ascii="KoPubWorld바탕체_Pro Light" w:hAnsi="KoPubWorld바탕체_Pro Light" w:eastAsia="KoPubWorld바탕체_Pro Light" w:cs="KoPubWorld바탕체_Pro Light"/>
          <w:sz w:val="14"/>
          <w:vertAlign w:val="superscript"/>
        </w:rPr>
        <w:t>128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2023-2024년 — EU는 MiCA를 제정해 토큰 발행·서비스와 시장남용을 포괄적으로 규율했다. 자산준거토큰과 전자화폐토큰 규정은 2024년 6월 30일, 주요 나머지 규정은 12월 30일부터 적용됐다.</w:t>
      </w:r>
      <w:r>
        <w:rPr>
          <w:rFonts w:ascii="KoPubWorld바탕체_Pro Light" w:hAnsi="KoPubWorld바탕체_Pro Light" w:eastAsia="KoPubWorld바탕체_Pro Light" w:cs="KoPubWorld바탕체_Pro Light"/>
          <w:sz w:val="14"/>
          <w:vertAlign w:val="superscript"/>
        </w:rPr>
        <w:t>195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2024년 4월 — 개정 바젤 핵심원칙이 즉시 효력을 가진 감독의 최소기준으로 발표됐다. 이 원칙은 은행 실패가 없을 것을 보증하지 않고, 감독권한·조기개입·지배구조·위험관리의 실효성을 평가한다.</w:t>
      </w:r>
      <w:r>
        <w:rPr>
          <w:rFonts w:ascii="KoPubWorld바탕체_Pro Light" w:hAnsi="KoPubWorld바탕체_Pro Light" w:eastAsia="KoPubWorld바탕체_Pro Light" w:cs="KoPubWorld바탕체_Pro Light"/>
          <w:sz w:val="14"/>
          <w:vertAlign w:val="superscript"/>
        </w:rPr>
        <w:t>220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2025년 1월 — EU 디지털운영복원력법 DORA가 적용되기 시작했다. ICT 위험관리, 사고보고, 복원력시험과 중요 제3자 감독을 하나의 법체계로 묶었다.</w:t>
      </w:r>
      <w:r>
        <w:rPr>
          <w:rFonts w:ascii="KoPubWorld바탕체_Pro Light" w:hAnsi="KoPubWorld바탕체_Pro Light" w:eastAsia="KoPubWorld바탕체_Pro Light" w:cs="KoPubWorld바탕체_Pro Light"/>
          <w:sz w:val="14"/>
          <w:vertAlign w:val="superscript"/>
        </w:rPr>
        <w:t>208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2025년 — FATF 권고가 위험기반 접근의 비례성과 저위험 영역의 간소화조치를 강조하도록 개정됐고, 지급 투명성 관련 권고도 갱신됐다.</w:t>
      </w:r>
      <w:r>
        <w:rPr>
          <w:rFonts w:ascii="KoPubWorld바탕체_Pro Light" w:hAnsi="KoPubWorld바탕체_Pro Light" w:eastAsia="KoPubWorld바탕체_Pro Light" w:cs="KoPubWorld바탕체_Pro Light"/>
          <w:sz w:val="14"/>
          <w:vertAlign w:val="superscript"/>
        </w:rPr>
        <w:t>221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7월 14일 현재 — MiCA가 허용한 기존 암호자산서비스사업자의 최장 과도기 바깥 한계인 2026년 7월 1일이 지났다. 바젤 최종 개혁은 관할별 국내 시행 속도가 여전히 다르며, EU AI법의 고위험 규정 일정 변경은 2026년 5월 잠정 합의 단계까지 구분해 읽어야 한다.</w:t>
      </w:r>
      <w:r>
        <w:rPr>
          <w:rFonts w:ascii="KoPubWorld바탕체_Pro Light" w:hAnsi="KoPubWorld바탕체_Pro Light" w:eastAsia="KoPubWorld바탕체_Pro Light" w:cs="KoPubWorld바탕체_Pro Light"/>
          <w:sz w:val="14"/>
          <w:vertAlign w:val="superscript"/>
        </w:rPr>
        <w:t>196</w:t>
      </w:r>
      <w:r>
        <w:rPr>
          <w:rFonts w:ascii="KoPubWorld바탕체_Pro Light" w:hAnsi="KoPubWorld바탕체_Pro Light" w:eastAsia="KoPubWorld바탕체_Pro Light" w:cs="KoPubWorld바탕체_Pro Light"/>
          <w:sz w:val="14"/>
          <w:vertAlign w:val="superscript"/>
        </w:rPr>
        <w:t>125</w:t>
      </w:r>
      <w:r>
        <w:rPr>
          <w:rFonts w:ascii="KoPubWorld바탕체_Pro Light" w:hAnsi="KoPubWorld바탕체_Pro Light" w:eastAsia="KoPubWorld바탕체_Pro Light" w:cs="KoPubWorld바탕체_Pro Light"/>
          <w:sz w:val="14"/>
          <w:vertAlign w:val="superscript"/>
        </w:rPr>
        <w:t>217</w:t>
      </w:r>
    </w:p>
    <w:p>
      <w:pPr>
        <w:pStyle w:val="aff3"/>
        <w:spacing w:line="259" w:lineRule="auto"/>
      </w:pPr>
      <w:r>
        <w:rPr>
          <w:rFonts w:ascii="KoPubWorld바탕체_Pro Light" w:hAnsi="KoPubWorld바탕체_Pro Light" w:eastAsia="KoPubWorld바탕체_Pro Light" w:cs="KoPubWorld바탕체_Pro Light"/>
          <w:sz w:val="16"/>
        </w:rPr>
        <w:t>연표의 마지막 날짜는 규제의 완성이 아니다. 같은 사건도 ‘발표-입법-공포-시행-감독집행-사후평가’의 서로 다른 시간을 가진다. 최신 제도를 읽을 때는 제목보다 적용대상, 시행일, 과도기와 국내 이행 문서를 함께 확인해야 한다.</w:t>
      </w:r>
    </w:p>
    <w:p>
      <w:r>
        <w:br w:type="page"/>
      </w:r>
    </w:p>
    <w:p>
      <w:pPr>
        <w:spacing w:before="360" w:after="0"/>
      </w:pPr>
    </w:p>
    <w:p>
      <w:pPr>
        <w:pStyle w:val="aff1"/>
        <w:jc w:val="center"/>
      </w:pPr>
      <w:r>
        <w:rPr>
          <w:rFonts w:ascii="KoPubWorld바탕체_Pro Bold" w:hAnsi="KoPubWorld바탕체_Pro Bold" w:eastAsia="KoPubWorld바탕체_Pro Bold" w:cs="KoPubWorld바탕체_Pro Bold"/>
          <w:b/>
          <w:sz w:val="28"/>
        </w:rPr>
        <w:t>부록 2. 한국 금융규제 연표: 1878년-2026년</w:t>
      </w:r>
    </w:p>
    <w:p>
      <w:pPr>
        <w:spacing w:before="100" w:after="0"/>
      </w:pPr>
    </w:p>
    <w:p>
      <w:pPr>
        <w:pStyle w:val="aff3"/>
        <w:spacing w:line="259" w:lineRule="auto"/>
      </w:pPr>
      <w:r>
        <w:rPr>
          <w:rFonts w:ascii="KoPubWorld바탕체_Pro Light" w:hAnsi="KoPubWorld바탕체_Pro Light" w:eastAsia="KoPubWorld바탕체_Pro Light" w:cs="KoPubWorld바탕체_Pro Light"/>
          <w:sz w:val="16"/>
        </w:rPr>
        <w:t>한국의 연표는 ‘국가 통제에서 시장 자유화로’라는 한 줄로 설명되지 않는다. 화폐주권을 빼앗기고 되찾은 시간, 국가가 산업신용을 배분한 시간, 외환위기 뒤 감독·정리·소비자보호를 다시 짠 시간, 데이터와 토큰이 금융의 경계를 바꾸는 시간이 겹친다. 2024년 이후 항목은 2026년 7월 14일 현재 시행 중인지, 시범사업인지, 아직 입법 검토인지 구분했다.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개항과 식민지 금융</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1878년 6월 — 일본 제일은행이 부산에 지점을 설치했다. 한국은행 디지털아카이브는 이를 우리나라 근대식 은행제도의 출발점으로 설명한다. 외국은행의 진입은 무역금융을 공급하는 동시에 화폐·관세·정부대출에 대한 영향력을 넓혔다.</w:t>
      </w:r>
      <w:r>
        <w:rPr>
          <w:rFonts w:ascii="KoPubWorld바탕체_Pro Light" w:hAnsi="KoPubWorld바탕체_Pro Light" w:eastAsia="KoPubWorld바탕체_Pro Light" w:cs="KoPubWorld바탕체_Pro Light"/>
          <w:sz w:val="14"/>
          <w:vertAlign w:val="superscript"/>
        </w:rPr>
        <w:t>222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1884년 — 제일은행이 조선 정부와 해관세 취급계약을 맺었다. 금융기관이 결제와 예금뿐 아니라 국가수입의 관문을 장악할 수 있음을 보여 준 사건이었다.</w:t>
      </w:r>
      <w:r>
        <w:rPr>
          <w:rFonts w:ascii="KoPubWorld바탕체_Pro Light" w:hAnsi="KoPubWorld바탕체_Pro Light" w:eastAsia="KoPubWorld바탕체_Pro Light" w:cs="KoPubWorld바탕체_Pro Light"/>
          <w:sz w:val="14"/>
          <w:vertAlign w:val="superscript"/>
        </w:rPr>
        <w:t>222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1894년 7월 — 신식화폐발행장정이 공포되고 조세금납과 은본위 구상이 추진됐다. 여러 주화와 외국화폐가 뒤섞인 시장에서 통화단위와 주조권을 국가가 다시 정하려 한 시도였다.</w:t>
      </w:r>
      <w:r>
        <w:rPr>
          <w:rFonts w:ascii="KoPubWorld바탕체_Pro Light" w:hAnsi="KoPubWorld바탕체_Pro Light" w:eastAsia="KoPubWorld바탕체_Pro Light" w:cs="KoPubWorld바탕체_Pro Light"/>
          <w:sz w:val="14"/>
          <w:vertAlign w:val="superscript"/>
        </w:rPr>
        <w:t>137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1896-1899년 — 국내 자본의 근대식 은행들이 등장했다. 한성은행과 대한천일은행 등은 상업자본을 은행조직으로 모았지만 외국계 은행과 정부재정의 영향 속에서 성장했다.</w:t>
      </w:r>
      <w:r>
        <w:rPr>
          <w:rFonts w:ascii="KoPubWorld바탕체_Pro Light" w:hAnsi="KoPubWorld바탕체_Pro Light" w:eastAsia="KoPubWorld바탕체_Pro Light" w:cs="KoPubWorld바탕체_Pro Light"/>
          <w:sz w:val="14"/>
          <w:vertAlign w:val="superscript"/>
        </w:rPr>
        <w:t>137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1901년 — 화폐조례가 금본위 구상을 법제화했다. 준비금과 본위화가 부족해 완전한 시행으로 이어지지 못했고, 법률상의 통화질서와 실제 유통질서의 간극이 남았다.</w:t>
      </w:r>
      <w:r>
        <w:rPr>
          <w:rFonts w:ascii="KoPubWorld바탕체_Pro Light" w:hAnsi="KoPubWorld바탕체_Pro Light" w:eastAsia="KoPubWorld바탕체_Pro Light" w:cs="KoPubWorld바탕체_Pro Light"/>
          <w:sz w:val="14"/>
          <w:vertAlign w:val="superscript"/>
        </w:rPr>
        <w:t>137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1902년 — 일본 제일은행권 발행이 시작됐다. 외국 민간은행의 채무가 한반도의 사실상 지급수단이 되면서 발권과 주권의 경계가 흐려졌다.</w:t>
      </w:r>
      <w:r>
        <w:rPr>
          <w:rFonts w:ascii="KoPubWorld바탕체_Pro Light" w:hAnsi="KoPubWorld바탕체_Pro Light" w:eastAsia="KoPubWorld바탕체_Pro Light" w:cs="KoPubWorld바탕체_Pro Light"/>
          <w:sz w:val="14"/>
          <w:vertAlign w:val="superscript"/>
        </w:rPr>
        <w:t>222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1905년 — 화폐정리사업이 시행됐다. 교환기준과 감정 결과에 따라 구화폐 보유자의 손실이 달라졌고, 제일은행권과 일본화폐 중심의 결제질서가 강화됐다.</w:t>
      </w:r>
      <w:r>
        <w:rPr>
          <w:rFonts w:ascii="KoPubWorld바탕체_Pro Light" w:hAnsi="KoPubWorld바탕체_Pro Light" w:eastAsia="KoPubWorld바탕체_Pro Light" w:cs="KoPubWorld바탕체_Pro Light"/>
          <w:sz w:val="14"/>
          <w:vertAlign w:val="superscript"/>
        </w:rPr>
        <w:t>138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1909년 7월·11월 — 구 한국은행 조례가 공포되고 11월 업무를 시작했다. 이는 일본이 주도해 세운 기관으로 1950년 설립된 현재의 한국은행과 전혀 다른 법인이다.</w:t>
      </w:r>
      <w:r>
        <w:rPr>
          <w:rFonts w:ascii="KoPubWorld바탕체_Pro Light" w:hAnsi="KoPubWorld바탕체_Pro Light" w:eastAsia="KoPubWorld바탕체_Pro Light" w:cs="KoPubWorld바탕체_Pro Light"/>
          <w:sz w:val="14"/>
          <w:vertAlign w:val="superscript"/>
        </w:rPr>
        <w:t>136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1911년 3월 28일·8월 15일 — 조선은행법이 공포·시행돼 구 한국은행이 조선은행으로 바뀌었다. 식민지 발권은행이 일본 제국의 결제와 대륙진출을 지원하는 구조가 만들어졌다.</w:t>
      </w:r>
      <w:r>
        <w:rPr>
          <w:rFonts w:ascii="KoPubWorld바탕체_Pro Light" w:hAnsi="KoPubWorld바탕체_Pro Light" w:eastAsia="KoPubWorld바탕체_Pro Light" w:cs="KoPubWorld바탕체_Pro Light"/>
          <w:sz w:val="14"/>
          <w:vertAlign w:val="superscript"/>
        </w:rPr>
        <w:t>139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1912년 — 은행령이 은행업을 허가와 감독의 대상으로 두었다. 1928년 개정은 주식회사 형태, 최저자본, 준비금·공시·검사 요건을 정비했으나 감독 목적은 식민지 금융질서 안에 있었다.</w:t>
      </w:r>
      <w:r>
        <w:rPr>
          <w:rFonts w:ascii="KoPubWorld바탕체_Pro Light" w:hAnsi="KoPubWorld바탕체_Pro Light" w:eastAsia="KoPubWorld바탕체_Pro Light" w:cs="KoPubWorld바탕체_Pro Light"/>
          <w:sz w:val="14"/>
          <w:vertAlign w:val="superscript"/>
        </w:rPr>
        <w:t>140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1937년 이후 — 중일전쟁과 전시동원이 확대되며 조선은행권 발행과 정책금융이 전쟁경제에 결합했다. 통화팽창의 비용은 해방 뒤까지 이어졌다.</w:t>
      </w:r>
      <w:r>
        <w:rPr>
          <w:rFonts w:ascii="KoPubWorld바탕체_Pro Light" w:hAnsi="KoPubWorld바탕체_Pro Light" w:eastAsia="KoPubWorld바탕체_Pro Light" w:cs="KoPubWorld바탕체_Pro Light"/>
          <w:sz w:val="14"/>
          <w:vertAlign w:val="superscript"/>
        </w:rPr>
        <w:t>141</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해방, 중앙은행과 개발금융</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1945-1949년 — 해방 뒤에도 조선은행권이 남한의 주된 화폐로 쓰였고 여러 종류의 일본·군표 화폐가 정리됐다. 새로운 국가의 중앙은행을 만들기 전 과도기였다.</w:t>
      </w:r>
      <w:r>
        <w:rPr>
          <w:rFonts w:ascii="KoPubWorld바탕체_Pro Light" w:hAnsi="KoPubWorld바탕체_Pro Light" w:eastAsia="KoPubWorld바탕체_Pro Light" w:cs="KoPubWorld바탕체_Pro Light"/>
          <w:sz w:val="14"/>
          <w:vertAlign w:val="superscript"/>
        </w:rPr>
        <w:t>223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1950년 5월 5일 — 한국은행법과 은행법이 각각 법률 제138호와 제139호로 제정됐다. 중앙은행, 통화정책과 상업은행 감독의 기본 틀이 같은 날 마련됐다.</w:t>
      </w:r>
      <w:r>
        <w:rPr>
          <w:rFonts w:ascii="KoPubWorld바탕체_Pro Light" w:hAnsi="KoPubWorld바탕체_Pro Light" w:eastAsia="KoPubWorld바탕체_Pro Light" w:cs="KoPubWorld바탕체_Pro Light"/>
          <w:sz w:val="14"/>
          <w:vertAlign w:val="superscript"/>
        </w:rPr>
        <w:t>142</w:t>
      </w:r>
      <w:r>
        <w:rPr>
          <w:rFonts w:ascii="KoPubWorld바탕체_Pro Light" w:hAnsi="KoPubWorld바탕체_Pro Light" w:eastAsia="KoPubWorld바탕체_Pro Light" w:cs="KoPubWorld바탕체_Pro Light"/>
          <w:sz w:val="14"/>
          <w:vertAlign w:val="superscript"/>
        </w:rPr>
        <w:t>143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1950년 6월 12일 — 현재의 한국은행이 업무를 시작했다. 제정법은 금융통화위원회, 발권, 통화신용정책과 은행감독의 중심을 한국은행에 두었다.</w:t>
      </w:r>
      <w:r>
        <w:rPr>
          <w:rFonts w:ascii="KoPubWorld바탕체_Pro Light" w:hAnsi="KoPubWorld바탕체_Pro Light" w:eastAsia="KoPubWorld바탕체_Pro Light" w:cs="KoPubWorld바탕체_Pro Light"/>
          <w:sz w:val="14"/>
          <w:vertAlign w:val="superscript"/>
        </w:rPr>
        <w:t>142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1954년 — 한국산업은행이 설립됐다. 장기 산업자금이 부족한 경제에서 정부보증·정책자금을 바탕으로 기간산업 금융을 담당했다.</w:t>
      </w:r>
      <w:r>
        <w:rPr>
          <w:rFonts w:ascii="KoPubWorld바탕체_Pro Light" w:hAnsi="KoPubWorld바탕체_Pro Light" w:eastAsia="KoPubWorld바탕체_Pro Light" w:cs="KoPubWorld바탕체_Pro Light"/>
          <w:sz w:val="14"/>
          <w:vertAlign w:val="superscript"/>
        </w:rPr>
        <w:t>147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1961년 6월 — 금융기관에 대한 임시조치법이 제정돼 주주의결권 제한과 정부의 인사·운영 통제가 강화됐다. 은행은 민간회사이면서 경제계획을 집행하는 정책도구가 됐다.</w:t>
      </w:r>
      <w:r>
        <w:rPr>
          <w:rFonts w:ascii="KoPubWorld바탕체_Pro Light" w:hAnsi="KoPubWorld바탕체_Pro Light" w:eastAsia="KoPubWorld바탕체_Pro Light" w:cs="KoPubWorld바탕체_Pro Light"/>
          <w:sz w:val="14"/>
          <w:vertAlign w:val="superscript"/>
        </w:rPr>
        <w:t>148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1962년 1월 — 이자제한법이 제정됐다. 사금융 억제와 채무자보호를 목표로 했지만 규제금리와 자금부족이 비제도권 금융을 키우는 긴장도 남겼다.</w:t>
      </w:r>
      <w:r>
        <w:rPr>
          <w:rFonts w:ascii="KoPubWorld바탕체_Pro Light" w:hAnsi="KoPubWorld바탕체_Pro Light" w:eastAsia="KoPubWorld바탕체_Pro Light" w:cs="KoPubWorld바탕체_Pro Light"/>
          <w:sz w:val="14"/>
          <w:vertAlign w:val="superscript"/>
        </w:rPr>
        <w:t>149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1962년 5월 24일 — 한국은행법 제1차 개정이 정부의 재의요구·예산통제와 외환정책 영향력을 넓혔다. 중앙은행의 독립성보다 개발계획과 정책조정이 우선했다.</w:t>
      </w:r>
      <w:r>
        <w:rPr>
          <w:rFonts w:ascii="KoPubWorld바탕체_Pro Light" w:hAnsi="KoPubWorld바탕체_Pro Light" w:eastAsia="KoPubWorld바탕체_Pro Light" w:cs="KoPubWorld바탕체_Pro Light"/>
          <w:sz w:val="14"/>
          <w:vertAlign w:val="superscript"/>
        </w:rPr>
        <w:t>144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1962년 6월 10일 — 긴급통화조치가 10환을 1원으로 바꾸고 예금봉쇄를 통해 퇴장자금을 동원하려 했다. 봉쇄조치는 곧 완화됐지만 현재의 ‘원’ 단위가 정착했다.</w:t>
      </w:r>
      <w:r>
        <w:rPr>
          <w:rFonts w:ascii="KoPubWorld바탕체_Pro Light" w:hAnsi="KoPubWorld바탕체_Pro Light" w:eastAsia="KoPubWorld바탕체_Pro Light" w:cs="KoPubWorld바탕체_Pro Light"/>
          <w:sz w:val="14"/>
          <w:vertAlign w:val="superscript"/>
        </w:rPr>
        <w:t>145</w:t>
      </w:r>
      <w:r>
        <w:rPr>
          <w:rFonts w:ascii="KoPubWorld바탕체_Pro Light" w:hAnsi="KoPubWorld바탕체_Pro Light" w:eastAsia="KoPubWorld바탕체_Pro Light" w:cs="KoPubWorld바탕체_Pro Light"/>
          <w:sz w:val="14"/>
          <w:vertAlign w:val="superscript"/>
        </w:rPr>
        <w:t>146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1972년 8월 2일 제정·8월 3일 발표 — 대통령긴급명령 제15호가 기업의 사채를 신고·동결하고 상환조건을 재조정했다. 기업 유동성 위기를 끊었지만 계약을 소급해 바꾸고 채권자에게 손실을 이전한 조치였다.</w:t>
      </w:r>
      <w:r>
        <w:rPr>
          <w:rFonts w:ascii="KoPubWorld바탕체_Pro Light" w:hAnsi="KoPubWorld바탕체_Pro Light" w:eastAsia="KoPubWorld바탕체_Pro Light" w:cs="KoPubWorld바탕체_Pro Light"/>
          <w:sz w:val="14"/>
          <w:vertAlign w:val="superscript"/>
        </w:rPr>
        <w:t>151</w:t>
      </w:r>
      <w:r>
        <w:rPr>
          <w:rFonts w:ascii="KoPubWorld바탕체_Pro Light" w:hAnsi="KoPubWorld바탕체_Pro Light" w:eastAsia="KoPubWorld바탕체_Pro Light" w:cs="KoPubWorld바탕체_Pro Light"/>
          <w:sz w:val="14"/>
          <w:vertAlign w:val="superscript"/>
        </w:rPr>
        <w:t>150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1982년 — 금융기관에 대한 임시조치법이 폐지되고 금융실명거래 법률이 제정됐다. 다만 실명확인 핵심의무의 시행은 유예되어 ‘법률의 존재’와 ‘제도의 실제 시행’을 구별해야 한다.</w:t>
      </w:r>
      <w:r>
        <w:rPr>
          <w:rFonts w:ascii="KoPubWorld바탕체_Pro Light" w:hAnsi="KoPubWorld바탕체_Pro Light" w:eastAsia="KoPubWorld바탕체_Pro Light" w:cs="KoPubWorld바탕체_Pro Light"/>
          <w:sz w:val="14"/>
          <w:vertAlign w:val="superscript"/>
        </w:rPr>
        <w:t>152</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자유화, 실명제와 외환위기</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1991년 — 4단계 금리자유화 계획이 시작됐다. 규제금리에서 시장가격으로 옮겨 가는 동안 은행의 위험평가와 감독능력이 함께 커져야 했다.</w:t>
      </w:r>
      <w:r>
        <w:rPr>
          <w:rFonts w:ascii="KoPubWorld바탕체_Pro Light" w:hAnsi="KoPubWorld바탕체_Pro Light" w:eastAsia="KoPubWorld바탕체_Pro Light" w:cs="KoPubWorld바탕체_Pro Light"/>
          <w:sz w:val="14"/>
          <w:vertAlign w:val="superscript"/>
        </w:rPr>
        <w:t>154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1993년 8월 12일 — 금융실명거래 및 비밀보장에 관한 대통령긴급재정경제명령이 즉시 시행됐다. 실명거래, 기존 차명계좌의 전환과 차등과세가 금융의 익명성을 크게 줄였다.</w:t>
      </w:r>
      <w:r>
        <w:rPr>
          <w:rFonts w:ascii="KoPubWorld바탕체_Pro Light" w:hAnsi="KoPubWorld바탕체_Pro Light" w:eastAsia="KoPubWorld바탕체_Pro Light" w:cs="KoPubWorld바탕체_Pro Light"/>
          <w:sz w:val="14"/>
          <w:vertAlign w:val="superscript"/>
        </w:rPr>
        <w:t>153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1995년 12월 — 예금자보호법이 제정됐다. 예금보험공사는 1996년 설립되고 1997년부터 보험업무를 시작했다.</w:t>
      </w:r>
      <w:r>
        <w:rPr>
          <w:rFonts w:ascii="KoPubWorld바탕체_Pro Light" w:hAnsi="KoPubWorld바탕체_Pro Light" w:eastAsia="KoPubWorld바탕체_Pro Light" w:cs="KoPubWorld바탕체_Pro Light"/>
          <w:sz w:val="14"/>
          <w:vertAlign w:val="superscript"/>
        </w:rPr>
        <w:t>160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1996년 — OECD 가입과 금융개방이 진전됐다. 은행·종합금융회사의 단기외화조달, 기업의 과잉차입과 감독의 분절이 함께 누적됐다.</w:t>
      </w:r>
      <w:r>
        <w:rPr>
          <w:rFonts w:ascii="KoPubWorld바탕체_Pro Light" w:hAnsi="KoPubWorld바탕체_Pro Light" w:eastAsia="KoPubWorld바탕체_Pro Light" w:cs="KoPubWorld바탕체_Pro Light"/>
          <w:sz w:val="14"/>
          <w:vertAlign w:val="superscript"/>
        </w:rPr>
        <w:t>155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1997년 11월 19일 — 정부가 예금 원리금을 한시적으로 전액보호한다고 발표했다. 공황을 막는 응급조치였지만 시장규율 약화와 공적비용의 위험을 동반했다. 전액보호는 2000년 말까지 유지됐다.</w:t>
      </w:r>
      <w:r>
        <w:rPr>
          <w:rFonts w:ascii="KoPubWorld바탕체_Pro Light" w:hAnsi="KoPubWorld바탕체_Pro Light" w:eastAsia="KoPubWorld바탕체_Pro Light" w:cs="KoPubWorld바탕체_Pro Light"/>
          <w:sz w:val="14"/>
          <w:vertAlign w:val="superscript"/>
        </w:rPr>
        <w:t>161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1997년 11월 21일 — 정부가 IMF에 유동성 지원을 요청한다고 발표했다. 외환보유액 부족과 금융회사 차환 실패가 국가 지급능력에 대한 위기로 전환된 순간이었다.</w:t>
      </w:r>
      <w:r>
        <w:rPr>
          <w:rFonts w:ascii="KoPubWorld바탕체_Pro Light" w:hAnsi="KoPubWorld바탕체_Pro Light" w:eastAsia="KoPubWorld바탕체_Pro Light" w:cs="KoPubWorld바탕체_Pro Light"/>
          <w:sz w:val="14"/>
          <w:vertAlign w:val="superscript"/>
        </w:rPr>
        <w:t>156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1997년 12월 3일 — 한국 정부·한국은행이 IMF 의향서를 제출했다. 종금사 영업정지, 부실기관 정리, 통합감독, 공시, 중앙은행 독립과 시장개방이 지원조건에 포함됐다.</w:t>
      </w:r>
      <w:r>
        <w:rPr>
          <w:rFonts w:ascii="KoPubWorld바탕체_Pro Light" w:hAnsi="KoPubWorld바탕체_Pro Light" w:eastAsia="KoPubWorld바탕체_Pro Light" w:cs="KoPubWorld바탕체_Pro Light"/>
          <w:sz w:val="14"/>
          <w:vertAlign w:val="superscript"/>
        </w:rPr>
        <w:t>157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1997년 12월 31일 — 금융감독기구의 설치 등에 관한 법률과 개정 한국은행법이 제정됐다. 통화정책의 물가안정 목표와 중앙은행 독립성을 강화하는 한편 감독기능은 새 통합체계로 옮겼다.</w:t>
      </w:r>
      <w:r>
        <w:rPr>
          <w:rFonts w:ascii="KoPubWorld바탕체_Pro Light" w:hAnsi="KoPubWorld바탕체_Pro Light" w:eastAsia="KoPubWorld바탕체_Pro Light" w:cs="KoPubWorld바탕체_Pro Light"/>
          <w:sz w:val="14"/>
          <w:vertAlign w:val="superscript"/>
        </w:rPr>
        <w:t>162</w:t>
      </w:r>
      <w:r>
        <w:rPr>
          <w:rFonts w:ascii="KoPubWorld바탕체_Pro Light" w:hAnsi="KoPubWorld바탕체_Pro Light" w:eastAsia="KoPubWorld바탕체_Pro Light" w:cs="KoPubWorld바탕체_Pro Light"/>
          <w:sz w:val="14"/>
          <w:vertAlign w:val="superscript"/>
        </w:rPr>
        <w:t>163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1998년 4월 1일 — 금융감독위원회가 출범했다. 이는 2008년 출범한 현재의 금융위원회와 명칭·기능을 구별해야 한다.</w:t>
      </w:r>
      <w:r>
        <w:rPr>
          <w:rFonts w:ascii="KoPubWorld바탕체_Pro Light" w:hAnsi="KoPubWorld바탕체_Pro Light" w:eastAsia="KoPubWorld바탕체_Pro Light" w:cs="KoPubWorld바탕체_Pro Light"/>
          <w:sz w:val="14"/>
          <w:vertAlign w:val="superscript"/>
        </w:rPr>
        <w:t>162</w:t>
      </w:r>
      <w:r>
        <w:rPr>
          <w:rFonts w:ascii="KoPubWorld바탕체_Pro Light" w:hAnsi="KoPubWorld바탕체_Pro Light" w:eastAsia="KoPubWorld바탕체_Pro Light" w:cs="KoPubWorld바탕체_Pro Light"/>
          <w:sz w:val="14"/>
          <w:vertAlign w:val="superscript"/>
        </w:rPr>
        <w:t>167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1998년 — 부실금융회사 정리, 공적자금 투입과 자본확충이 본격화됐다. 1998년 2월 의향서는 정지된 종금사 14곳 가운데 10곳 폐쇄와 브리지기관 구상을 담았다.</w:t>
      </w:r>
      <w:r>
        <w:rPr>
          <w:rFonts w:ascii="KoPubWorld바탕체_Pro Light" w:hAnsi="KoPubWorld바탕체_Pro Light" w:eastAsia="KoPubWorld바탕체_Pro Light" w:cs="KoPubWorld바탕체_Pro Light"/>
          <w:sz w:val="14"/>
          <w:vertAlign w:val="superscript"/>
        </w:rPr>
        <w:t>159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1999년 1월 1일 — 은행·증권·보험·비은행 감독기관을 합친 금융감독원이 출범했다. 정책결정과 검사집행을 구분하면서도 두 기관의 협업이 필요한 구조가 자리 잡았다.</w:t>
      </w:r>
      <w:r>
        <w:rPr>
          <w:rFonts w:ascii="KoPubWorld바탕체_Pro Light" w:hAnsi="KoPubWorld바탕체_Pro Light" w:eastAsia="KoPubWorld바탕체_Pro Light" w:cs="KoPubWorld바탕체_Pro Light"/>
          <w:sz w:val="14"/>
          <w:vertAlign w:val="superscript"/>
        </w:rPr>
        <w:t>162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2000년 10월 23일 — 금융지주회사법이 제정됐다. 금융그룹 결합을 허용하되 자회사 간 신용공여, 위험전이와 연결공시를 규율하는 틀이 만들어졌다.</w:t>
      </w:r>
      <w:r>
        <w:rPr>
          <w:rFonts w:ascii="KoPubWorld바탕체_Pro Light" w:hAnsi="KoPubWorld바탕체_Pro Light" w:eastAsia="KoPubWorld바탕체_Pro Light" w:cs="KoPubWorld바탕체_Pro Light"/>
          <w:sz w:val="14"/>
          <w:vertAlign w:val="superscript"/>
        </w:rPr>
        <w:t>166</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가계·소비자·디지털 금융</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2002년 9월 — 주택담보인정비율 LTV가 처음 도입됐다. 개별 대출의 담보안전뿐 아니라 주택가격과 가계신용의 순환을 조절하는 거시건전성 도구로 발전했다.</w:t>
      </w:r>
      <w:r>
        <w:rPr>
          <w:rFonts w:ascii="KoPubWorld바탕체_Pro Light" w:hAnsi="KoPubWorld바탕체_Pro Light" w:eastAsia="KoPubWorld바탕체_Pro Light" w:cs="KoPubWorld바탕체_Pro Light"/>
          <w:sz w:val="14"/>
          <w:vertAlign w:val="superscript"/>
        </w:rPr>
        <w:t>172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2003년 — 카드채 불안과 신용카드사의 유동성 위기가 시장성 조달의 취약성을 드러냈다. 신용팽창, 판매행위와 비은행 레버리지가 시스템위험으로 연결됐다.</w:t>
      </w:r>
      <w:r>
        <w:rPr>
          <w:rFonts w:ascii="KoPubWorld바탕체_Pro Light" w:hAnsi="KoPubWorld바탕체_Pro Light" w:eastAsia="KoPubWorld바탕체_Pro Light" w:cs="KoPubWorld바탕체_Pro Light"/>
          <w:sz w:val="14"/>
          <w:vertAlign w:val="superscript"/>
        </w:rPr>
        <w:t>169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2005년 — 총부채상환비율 DTI가 도입됐다. 담보가치뿐 아니라 차주의 소득 대비 상환부담을 여신심사에 반영했다.</w:t>
      </w:r>
      <w:r>
        <w:rPr>
          <w:rFonts w:ascii="KoPubWorld바탕체_Pro Light" w:hAnsi="KoPubWorld바탕체_Pro Light" w:eastAsia="KoPubWorld바탕체_Pro Light" w:cs="KoPubWorld바탕체_Pro Light"/>
          <w:sz w:val="14"/>
          <w:vertAlign w:val="superscript"/>
        </w:rPr>
        <w:t>171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2006년 4월 제정·2007년 1월 1일 시행 — 전자금융거래법이 접근매체, 오류정정, 사고책임과 전자지급업을 규율했다. 금융서비스가 창구에서 네트워크로 이동한 데 대한 기본법이었다.</w:t>
      </w:r>
      <w:r>
        <w:rPr>
          <w:rFonts w:ascii="KoPubWorld바탕체_Pro Light" w:hAnsi="KoPubWorld바탕체_Pro Light" w:eastAsia="KoPubWorld바탕체_Pro Light" w:cs="KoPubWorld바탕체_Pro Light"/>
          <w:sz w:val="14"/>
          <w:vertAlign w:val="superscript"/>
        </w:rPr>
        <w:t>179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2007년 — 1998년 폐지됐던 이자제한법이 다시 제정됐다. 신용공급과 채무자보호 사이의 오래된 긴장이 법률로 복귀했다.</w:t>
      </w:r>
      <w:r>
        <w:rPr>
          <w:rFonts w:ascii="KoPubWorld바탕체_Pro Light" w:hAnsi="KoPubWorld바탕체_Pro Light" w:eastAsia="KoPubWorld바탕체_Pro Light" w:cs="KoPubWorld바탕체_Pro Light"/>
          <w:sz w:val="14"/>
          <w:vertAlign w:val="superscript"/>
        </w:rPr>
        <w:t>176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2008년 2월 — 현재의 금융위원회가 출범했다. 구 금융감독위원회의 감독정책과 구 재정경제부의 금융정책을 결합하고, 금융감독원장은 금융위원장과 분리됐다.</w:t>
      </w:r>
      <w:r>
        <w:rPr>
          <w:rFonts w:ascii="KoPubWorld바탕체_Pro Light" w:hAnsi="KoPubWorld바탕체_Pro Light" w:eastAsia="KoPubWorld바탕체_Pro Light" w:cs="KoPubWorld바탕체_Pro Light"/>
          <w:sz w:val="14"/>
          <w:vertAlign w:val="superscript"/>
        </w:rPr>
        <w:t>167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2011-2015년 — 31개 저축은행이 정리됐다. 예금보험기금 저축은행 특별계정은 업권을 넘는 공동분담과 장기회수라는 위기비용 배분 문제를 남겼다.</w:t>
      </w:r>
      <w:r>
        <w:rPr>
          <w:rFonts w:ascii="KoPubWorld바탕체_Pro Light" w:hAnsi="KoPubWorld바탕체_Pro Light" w:eastAsia="KoPubWorld바탕체_Pro Light" w:cs="KoPubWorld바탕체_Pro Light"/>
          <w:sz w:val="14"/>
          <w:vertAlign w:val="superscript"/>
        </w:rPr>
        <w:t>170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2015년 — 케이뱅크와 카카오뱅크가 인터넷전문은행 예비인가를 받았다. 2017년 4월·7월 영업을 시작해 앱 중심 은행이 제도권에 들어왔다.</w:t>
      </w:r>
      <w:r>
        <w:rPr>
          <w:rFonts w:ascii="KoPubWorld바탕체_Pro Light" w:hAnsi="KoPubWorld바탕체_Pro Light" w:eastAsia="KoPubWorld바탕체_Pro Light" w:cs="KoPubWorld바탕체_Pro Light"/>
          <w:sz w:val="14"/>
          <w:vertAlign w:val="superscript"/>
        </w:rPr>
        <w:t>180</w:t>
      </w:r>
      <w:r>
        <w:rPr>
          <w:rFonts w:ascii="KoPubWorld바탕체_Pro Light" w:hAnsi="KoPubWorld바탕체_Pro Light" w:eastAsia="KoPubWorld바탕체_Pro Light" w:cs="KoPubWorld바탕체_Pro Light"/>
          <w:sz w:val="14"/>
          <w:vertAlign w:val="superscript"/>
        </w:rPr>
        <w:t>178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2018년 — 총부채원리금상환비율 DSR의 은행권 관리가 본격화됐다. 같은 해 인터넷전문은행 특례법과 금융혁신지원 특별법이 제정돼 소유규제 특례와 규제샌드박스가 도입됐다.</w:t>
      </w:r>
      <w:r>
        <w:rPr>
          <w:rFonts w:ascii="KoPubWorld바탕체_Pro Light" w:hAnsi="KoPubWorld바탕체_Pro Light" w:eastAsia="KoPubWorld바탕체_Pro Light" w:cs="KoPubWorld바탕체_Pro Light"/>
          <w:sz w:val="14"/>
          <w:vertAlign w:val="superscript"/>
        </w:rPr>
        <w:t>173</w:t>
      </w:r>
      <w:r>
        <w:rPr>
          <w:rFonts w:ascii="KoPubWorld바탕체_Pro Light" w:hAnsi="KoPubWorld바탕체_Pro Light" w:eastAsia="KoPubWorld바탕체_Pro Light" w:cs="KoPubWorld바탕체_Pro Light"/>
          <w:sz w:val="14"/>
          <w:vertAlign w:val="superscript"/>
        </w:rPr>
        <w:t>181</w:t>
      </w:r>
      <w:r>
        <w:rPr>
          <w:rFonts w:ascii="KoPubWorld바탕체_Pro Light" w:hAnsi="KoPubWorld바탕체_Pro Light" w:eastAsia="KoPubWorld바탕체_Pro Light" w:cs="KoPubWorld바탕체_Pro Light"/>
          <w:sz w:val="14"/>
          <w:vertAlign w:val="superscript"/>
        </w:rPr>
        <w:t>182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2019년 4월 1일 — 금융규제 샌드박스가 시행됐다. 10월 30일 오픈뱅킹 시범, 12월 18일 전면 시행으로 계좌조회·이체 기능의 공동 인프라가 확대됐다.</w:t>
      </w:r>
      <w:r>
        <w:rPr>
          <w:rFonts w:ascii="KoPubWorld바탕체_Pro Light" w:hAnsi="KoPubWorld바탕체_Pro Light" w:eastAsia="KoPubWorld바탕체_Pro Light" w:cs="KoPubWorld바탕체_Pro Light"/>
          <w:sz w:val="14"/>
          <w:vertAlign w:val="superscript"/>
        </w:rPr>
        <w:t>182</w:t>
      </w:r>
      <w:r>
        <w:rPr>
          <w:rFonts w:ascii="KoPubWorld바탕체_Pro Light" w:hAnsi="KoPubWorld바탕체_Pro Light" w:eastAsia="KoPubWorld바탕체_Pro Light" w:cs="KoPubWorld바탕체_Pro Light"/>
          <w:sz w:val="14"/>
          <w:vertAlign w:val="superscript"/>
        </w:rPr>
        <w:t>183</w:t>
      </w:r>
      <w:r>
        <w:rPr>
          <w:rFonts w:ascii="KoPubWorld바탕체_Pro Light" w:hAnsi="KoPubWorld바탕체_Pro Light" w:eastAsia="KoPubWorld바탕체_Pro Light" w:cs="KoPubWorld바탕체_Pro Light"/>
          <w:sz w:val="14"/>
          <w:vertAlign w:val="superscript"/>
        </w:rPr>
        <w:t>184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2020년 3월 24일 — 금융소비자보호법이 제정됐다. 같은 날 특정금융정보법 개정으로 가상자산사업자 신고·자금세탁방지 체계의 법적 토대도 마련됐다.</w:t>
      </w:r>
      <w:r>
        <w:rPr>
          <w:rFonts w:ascii="KoPubWorld바탕체_Pro Light" w:hAnsi="KoPubWorld바탕체_Pro Light" w:eastAsia="KoPubWorld바탕체_Pro Light" w:cs="KoPubWorld바탕체_Pro Light"/>
          <w:sz w:val="14"/>
          <w:vertAlign w:val="superscript"/>
        </w:rPr>
        <w:t>174</w:t>
      </w:r>
      <w:r>
        <w:rPr>
          <w:rFonts w:ascii="KoPubWorld바탕체_Pro Light" w:hAnsi="KoPubWorld바탕체_Pro Light" w:eastAsia="KoPubWorld바탕체_Pro Light" w:cs="KoPubWorld바탕체_Pro Light"/>
          <w:sz w:val="14"/>
          <w:vertAlign w:val="superscript"/>
        </w:rPr>
        <w:t>189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2020년 8월 5일 — 개정 신용정보법 등 데이터 3법의 주요 규정이 시행됐다. 가명정보와 허가제 마이데이터, 자동화평가에 대한 정보주체 권리가 금융데이터 규율의 축이 됐다.</w:t>
      </w:r>
      <w:r>
        <w:rPr>
          <w:rFonts w:ascii="KoPubWorld바탕체_Pro Light" w:hAnsi="KoPubWorld바탕체_Pro Light" w:eastAsia="KoPubWorld바탕체_Pro Light" w:cs="KoPubWorld바탕체_Pro Light"/>
          <w:sz w:val="14"/>
          <w:vertAlign w:val="superscript"/>
        </w:rPr>
        <w:t>185</w:t>
      </w:r>
      <w:r>
        <w:rPr>
          <w:rFonts w:ascii="KoPubWorld바탕체_Pro Light" w:hAnsi="KoPubWorld바탕체_Pro Light" w:eastAsia="KoPubWorld바탕체_Pro Light" w:cs="KoPubWorld바탕체_Pro Light"/>
          <w:sz w:val="14"/>
          <w:vertAlign w:val="superscript"/>
        </w:rPr>
        <w:t>186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2021년 3월 25일 — 금융소비자보호법과 가상자산사업자 AML 신고제가 시행됐다. 여섯 판매원칙은 상품·판매유형에 따라 적용범위가 달라 모든 거래에 똑같이 적용된다고 단순화해서는 안 된다.</w:t>
      </w:r>
      <w:r>
        <w:rPr>
          <w:rFonts w:ascii="KoPubWorld바탕체_Pro Light" w:hAnsi="KoPubWorld바탕체_Pro Light" w:eastAsia="KoPubWorld바탕체_Pro Light" w:cs="KoPubWorld바탕체_Pro Light"/>
          <w:sz w:val="14"/>
          <w:vertAlign w:val="superscript"/>
        </w:rPr>
        <w:t>175</w:t>
      </w:r>
      <w:r>
        <w:rPr>
          <w:rFonts w:ascii="KoPubWorld바탕체_Pro Light" w:hAnsi="KoPubWorld바탕체_Pro Light" w:eastAsia="KoPubWorld바탕체_Pro Light" w:cs="KoPubWorld바탕체_Pro Light"/>
          <w:sz w:val="14"/>
          <w:vertAlign w:val="superscript"/>
        </w:rPr>
        <w:t>190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2021년 7월 7일 — 법정 최고금리가 연 20퍼센트로 낮아졌다. 최고금리 규제는 과잉이자 억제와 저신용자 공급축소 위험을 함께 관리해야 한다.</w:t>
      </w:r>
      <w:r>
        <w:rPr>
          <w:rFonts w:ascii="KoPubWorld바탕체_Pro Light" w:hAnsi="KoPubWorld바탕체_Pro Light" w:eastAsia="KoPubWorld바탕체_Pro Light" w:cs="KoPubWorld바탕체_Pro Light"/>
          <w:sz w:val="14"/>
          <w:vertAlign w:val="superscript"/>
        </w:rPr>
        <w:t>177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토큰·클라우드·AI의 경계</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2023년 7월 18일 제정·2024년 7월 19일 시행 — 가상자산 이용자 보호 등에 관한 법률이 이용자자산 분리, 불공정거래 금지와 감독·조사 체계를 도입했다. 이는 발행·공시·스테이블코인까지 포괄한 완결 법체계가 아니라 1단계 이용자보호법이다.</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4"/>
          <w:vertAlign w:val="superscript"/>
        </w:rPr>
        <w:t>188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2024년 8월 13일 — 금융위원회가 금융분야 망분리 개선 로드맵을 발표했다. 생성형 AI와 SaaS 활용 특례를 넓히되 자율보안과 결과책임으로 이동하는 방향을 제시했다.</w:t>
      </w:r>
      <w:r>
        <w:rPr>
          <w:rFonts w:ascii="KoPubWorld바탕체_Pro Light" w:hAnsi="KoPubWorld바탕체_Pro Light" w:eastAsia="KoPubWorld바탕체_Pro Light" w:cs="KoPubWorld바탕체_Pro Light"/>
          <w:sz w:val="14"/>
          <w:vertAlign w:val="superscript"/>
        </w:rPr>
        <w:t>206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2025년 1월 21일 — 인공지능기본법이 제정됐다. 대출 심사처럼 개인의 권리·의무에 중대한 영향을 미치는 영역은 고영향 인공지능 판단 대상이 될 수 있다.</w:t>
      </w:r>
      <w:r>
        <w:rPr>
          <w:rFonts w:ascii="KoPubWorld바탕체_Pro Light" w:hAnsi="KoPubWorld바탕체_Pro Light" w:eastAsia="KoPubWorld바탕체_Pro Light" w:cs="KoPubWorld바탕체_Pro Light"/>
          <w:sz w:val="14"/>
          <w:vertAlign w:val="superscript"/>
        </w:rPr>
        <w:t>214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2025년 4-6월 — 프로젝트 한강 1단계에서 일반 이용자가 은행 예금토큰으로 실거래를 시험했다. 이는 CBDC나 예금토큰의 상용화 결정이 아니라 제한된 실험이었다.</w:t>
      </w:r>
      <w:r>
        <w:rPr>
          <w:rFonts w:ascii="KoPubWorld바탕체_Pro Light" w:hAnsi="KoPubWorld바탕체_Pro Light" w:eastAsia="KoPubWorld바탕체_Pro Light" w:cs="KoPubWorld바탕체_Pro Light"/>
          <w:sz w:val="14"/>
          <w:vertAlign w:val="superscript"/>
        </w:rPr>
        <w:t>200</w:t>
      </w:r>
      <w:r>
        <w:rPr>
          <w:rFonts w:ascii="KoPubWorld바탕체_Pro Light" w:hAnsi="KoPubWorld바탕체_Pro Light" w:eastAsia="KoPubWorld바탕체_Pro Light" w:cs="KoPubWorld바탕체_Pro Light"/>
          <w:sz w:val="14"/>
          <w:vertAlign w:val="superscript"/>
        </w:rPr>
        <w:t>202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2025년 9월 1일 — 예금보호한도가 금융회사별 1인당 원금과 소정 이자를 합해 5천만 원에서 1억 원으로 올랐다.</w:t>
      </w:r>
      <w:r>
        <w:rPr>
          <w:rFonts w:ascii="KoPubWorld바탕체_Pro Light" w:hAnsi="KoPubWorld바탕체_Pro Light" w:eastAsia="KoPubWorld바탕체_Pro Light" w:cs="KoPubWorld바탕체_Pro Light"/>
          <w:sz w:val="14"/>
          <w:vertAlign w:val="superscript"/>
        </w:rPr>
        <w:t>165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1월 2일 — 정부조직 개편으로 기획재정부가 재정경제부로 바뀌고 기획예산 기능은 별도 기획예산처로 분리됐다. 2026년 현재 기관 지도를 쓸 때는 재정경제부가 화폐·외환·국고·국제금융을 관장한다고 표기해야 한다.</w:t>
      </w:r>
      <w:r>
        <w:rPr>
          <w:rFonts w:ascii="KoPubWorld바탕체_Pro Light" w:hAnsi="KoPubWorld바탕체_Pro Light" w:eastAsia="KoPubWorld바탕체_Pro Light" w:cs="KoPubWorld바탕체_Pro Light"/>
          <w:sz w:val="14"/>
          <w:vertAlign w:val="superscript"/>
        </w:rPr>
        <w:t>168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1월 22일 — 인공지능기본법이 시행됐다. 금융 AI에는 이 법뿐 아니라 신용정보법, 개인정보보호법, 금융소비자보호법과 개별 업권 감독규정이 겹쳐 적용될 수 있다.</w:t>
      </w:r>
      <w:r>
        <w:rPr>
          <w:rFonts w:ascii="KoPubWorld바탕체_Pro Light" w:hAnsi="KoPubWorld바탕체_Pro Light" w:eastAsia="KoPubWorld바탕체_Pro Light" w:cs="KoPubWorld바탕체_Pro Light"/>
          <w:sz w:val="14"/>
          <w:vertAlign w:val="superscript"/>
        </w:rPr>
        <w:t>214</w:t>
      </w:r>
      <w:r>
        <w:rPr>
          <w:rFonts w:ascii="KoPubWorld바탕체_Pro Light" w:hAnsi="KoPubWorld바탕체_Pro Light" w:eastAsia="KoPubWorld바탕체_Pro Light" w:cs="KoPubWorld바탕체_Pro Light"/>
          <w:sz w:val="14"/>
          <w:vertAlign w:val="superscript"/>
        </w:rPr>
        <w:t>212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2월 13일 — 개정 전자금융감독규정 시행본이 적용됐다. 국내 운영위험 규율은 전자금융거래법, 감독규정과 규제특례가 함께 움직인다.</w:t>
      </w:r>
      <w:r>
        <w:rPr>
          <w:rFonts w:ascii="KoPubWorld바탕체_Pro Light" w:hAnsi="KoPubWorld바탕체_Pro Light" w:eastAsia="KoPubWorld바탕체_Pro Light" w:cs="KoPubWorld바탕체_Pro Light"/>
          <w:sz w:val="14"/>
          <w:vertAlign w:val="superscript"/>
        </w:rPr>
        <w:t>207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3월 18일 — 한국은행이 프로젝트 한강 2단계 추진을 발표했다. 참여 확대와 기능 시험은 계속되지만 CBDC 도입 여부와 시기는 결정되지 않았다.</w:t>
      </w:r>
      <w:r>
        <w:rPr>
          <w:rFonts w:ascii="KoPubWorld바탕체_Pro Light" w:hAnsi="KoPubWorld바탕체_Pro Light" w:eastAsia="KoPubWorld바탕체_Pro Light" w:cs="KoPubWorld바탕체_Pro Light"/>
          <w:sz w:val="14"/>
          <w:vertAlign w:val="superscript"/>
        </w:rPr>
        <w:t>201</w:t>
      </w:r>
      <w:r>
        <w:rPr>
          <w:rFonts w:ascii="KoPubWorld바탕체_Pro Light" w:hAnsi="KoPubWorld바탕체_Pro Light" w:eastAsia="KoPubWorld바탕체_Pro Light" w:cs="KoPubWorld바탕체_Pro Light"/>
          <w:sz w:val="14"/>
          <w:vertAlign w:val="superscript"/>
        </w:rPr>
        <w:t>199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4월 15일 — 가상자산시장조사업무규정 개정이 조사결과 심의 절차를 보완했다. 1단계법 아래 시장감시·조사의 집행기술이 조정되고 있다.</w:t>
      </w:r>
      <w:r>
        <w:rPr>
          <w:rFonts w:ascii="KoPubWorld바탕체_Pro Light" w:hAnsi="KoPubWorld바탕체_Pro Light" w:eastAsia="KoPubWorld바탕체_Pro Light" w:cs="KoPubWorld바탕체_Pro Light"/>
          <w:sz w:val="14"/>
          <w:vertAlign w:val="superscript"/>
        </w:rPr>
        <w:t>191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7월 1일 — 한국은행이 프로젝트 한강 1단계의 경험을 공개했다. 같은 시점에도 디지털화폐의 정식 도입과 원화 스테이블코인 법제는 별개의 정책결정으로 남아 있었다.</w:t>
      </w:r>
      <w:r>
        <w:rPr>
          <w:rFonts w:ascii="KoPubWorld바탕체_Pro Light" w:hAnsi="KoPubWorld바탕체_Pro Light" w:eastAsia="KoPubWorld바탕체_Pro Light" w:cs="KoPubWorld바탕체_Pro Light"/>
          <w:sz w:val="14"/>
          <w:vertAlign w:val="superscript"/>
        </w:rPr>
        <w:t>202</w:t>
      </w:r>
      <w:r>
        <w:rPr>
          <w:rFonts w:ascii="KoPubWorld바탕체_Pro Light" w:hAnsi="KoPubWorld바탕체_Pro Light" w:eastAsia="KoPubWorld바탕체_Pro Light" w:cs="KoPubWorld바탕체_Pro Light"/>
          <w:sz w:val="14"/>
          <w:vertAlign w:val="superscript"/>
        </w:rPr>
        <w:t>199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2026년 7월 14일 현재 — 이른바 디지털자산기본법 또는 가상자산 2단계법은 제정·시행된 법률이 아니다. 금융위원회는 정부 검토안과 발행·공시·내부통제·스테이블코인 쟁점을 논의 중이며, 확정되지 않은 언론보도를 현행법으로 적어서는 안 된다.</w:t>
      </w:r>
      <w:r>
        <w:rPr>
          <w:rFonts w:ascii="KoPubWorld바탕체_Pro Light" w:hAnsi="KoPubWorld바탕체_Pro Light" w:eastAsia="KoPubWorld바탕체_Pro Light" w:cs="KoPubWorld바탕체_Pro Light"/>
          <w:sz w:val="14"/>
          <w:vertAlign w:val="superscript"/>
        </w:rPr>
        <w:t>192</w:t>
      </w:r>
      <w:r>
        <w:rPr>
          <w:rFonts w:ascii="KoPubWorld바탕체_Pro Light" w:hAnsi="KoPubWorld바탕체_Pro Light" w:eastAsia="KoPubWorld바탕체_Pro Light" w:cs="KoPubWorld바탕체_Pro Light"/>
          <w:sz w:val="14"/>
          <w:vertAlign w:val="superscript"/>
        </w:rPr>
        <w:t>193</w:t>
      </w:r>
      <w:r>
        <w:rPr>
          <w:rFonts w:ascii="KoPubWorld바탕체_Pro Light" w:hAnsi="KoPubWorld바탕체_Pro Light" w:eastAsia="KoPubWorld바탕체_Pro Light" w:cs="KoPubWorld바탕체_Pro Light"/>
          <w:sz w:val="14"/>
          <w:vertAlign w:val="superscript"/>
        </w:rPr>
        <w:t>194</w:t>
      </w:r>
    </w:p>
    <w:p>
      <w:pPr>
        <w:pStyle w:val="aff3"/>
        <w:spacing w:line="259" w:lineRule="auto"/>
      </w:pPr>
      <w:r>
        <w:rPr>
          <w:rFonts w:ascii="KoPubWorld바탕체_Pro Light" w:hAnsi="KoPubWorld바탕체_Pro Light" w:eastAsia="KoPubWorld바탕체_Pro Light" w:cs="KoPubWorld바탕체_Pro Light"/>
          <w:sz w:val="16"/>
        </w:rPr>
        <w:t>한국 연표의 반복되는 질문은 ‘누가 돈을 배분하는가’였다. 식민지 발권은행, 개발국가의 정책금융, 자유화 이후의 시장과 감독기구, 오늘의 플랫폼·모델은 서로 다르지만 신용에 접근할 사람과 실패의 비용을 정한다는 점에서는 이어져 있다.</w:t>
      </w:r>
    </w:p>
    <w:p>
      <w:r>
        <w:br w:type="page"/>
      </w:r>
    </w:p>
    <w:p>
      <w:pPr>
        <w:spacing w:before="360" w:after="0"/>
      </w:pPr>
    </w:p>
    <w:p>
      <w:pPr>
        <w:pStyle w:val="aff1"/>
        <w:jc w:val="center"/>
      </w:pPr>
      <w:r>
        <w:rPr>
          <w:rFonts w:ascii="KoPubWorld바탕체_Pro Bold" w:hAnsi="KoPubWorld바탕체_Pro Bold" w:eastAsia="KoPubWorld바탕체_Pro Bold" w:cs="KoPubWorld바탕체_Pro Bold"/>
          <w:b/>
          <w:sz w:val="28"/>
        </w:rPr>
        <w:t>부록 3. 위기와 규제의 대응 지도</w:t>
      </w:r>
    </w:p>
    <w:p>
      <w:pPr>
        <w:spacing w:before="100" w:after="0"/>
      </w:pPr>
    </w:p>
    <w:p>
      <w:pPr>
        <w:pStyle w:val="aff3"/>
        <w:spacing w:line="259" w:lineRule="auto"/>
      </w:pPr>
      <w:r>
        <w:rPr>
          <w:rFonts w:ascii="KoPubWorld바탕체_Pro Light" w:hAnsi="KoPubWorld바탕체_Pro Light" w:eastAsia="KoPubWorld바탕체_Pro Light" w:cs="KoPubWorld바탕체_Pro Light"/>
          <w:sz w:val="16"/>
        </w:rPr>
        <w:t>금융위기의 이름은 대개 최초의 충격을 가리키지만, 규제가 찾아야 할 것은 충격을 붕괴로 바꾼 취약성이다. 주가하락이 공황이 되는 데는 레버리지, 만기·유동성 불일치, 상호연결, 불투명한 장부와 손실을 인정하지 못하는 제도가 필요하다. 아래 지도는 각 사건을 충격-취약성-응급조치-영구제도-손실배분-남은 위험의 여섯 칸으로 읽는다. 응급조치는 불을 끄는 수단이고 영구제도는 다음 불의 번지는 경로를 바꾸는 수단이므로 같은 잣대로 평가하면 안 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초기 시장과 중앙은행</w:t>
      </w:r>
    </w:p>
    <w:p>
      <w:pPr>
        <w:spacing w:before="40" w:after="0"/>
      </w:pPr>
    </w:p>
    <w:p>
      <w:pPr>
        <w:spacing w:before="120" w:after="0"/>
      </w:pPr>
    </w:p>
    <w:p>
      <w:pPr>
        <w:pStyle w:val="aff4"/>
        <w:keepNext/>
        <w:jc w:val="left"/>
      </w:pPr>
      <w:r>
        <w:rPr>
          <w:rFonts w:ascii="Noto Sans CJK KR" w:hAnsi="Noto Sans CJK KR" w:eastAsia="Noto Sans CJK KR" w:cs="Noto Sans CJK KR"/>
          <w:b/>
          <w:sz w:val="20"/>
        </w:rPr>
        <w:t>1. 1720년 남해회사 거품</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정부부채 전환 기대와 투기열 속에서 남해회사 주가가 급등한 뒤 붕괴했다.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사업가치와 정부특혜의 경계가 불투명했고, 신주·신용·홍보가 가격상승 기대를 자기강화했다.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의회 조사와 책임추궁, 자산환수와 부채조정이 뒤따랐다. 버블법은 폭락 뒤가 아니라 거품이 진행 중일 때 이미 통과돼 있었고 집행도 약했다.</w:t>
      </w:r>
      <w:r>
        <w:rPr>
          <w:rFonts w:ascii="KoPubWorld바탕체_Pro Light" w:hAnsi="KoPubWorld바탕체_Pro Light" w:eastAsia="KoPubWorld바탕체_Pro Light" w:cs="KoPubWorld바탕체_Pro Light"/>
          <w:sz w:val="14"/>
          <w:vertAlign w:val="superscript"/>
        </w:rPr>
        <w:t>25</w:t>
      </w:r>
      <w:r>
        <w:rPr>
          <w:rFonts w:ascii="KoPubWorld바탕체_Pro Light" w:hAnsi="KoPubWorld바탕체_Pro Light" w:eastAsia="KoPubWorld바탕체_Pro Light" w:cs="KoPubWorld바탕체_Pro Light"/>
          <w:sz w:val="14"/>
          <w:vertAlign w:val="superscript"/>
        </w:rPr>
        <w:t>26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회사설립을 전면 금지하는 해법은 오래가지 못했다. 장기적으로는 등록·공시·감사와 유한책임이라는 허용형 법인규제로 이동했다.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주주와 채권자, 정치적으로 연결된 내부자 사이의 손실과 구제 차이가 쟁점이 됐다.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법인이 합법이고 공시가 많아도 미래 현금흐름을 둘러싼 집단적 낙관과 이해상충은 사라지지 않는다.</w:t>
      </w:r>
    </w:p>
    <w:p>
      <w:pPr>
        <w:spacing w:before="120" w:after="0"/>
      </w:pPr>
    </w:p>
    <w:p>
      <w:pPr>
        <w:pStyle w:val="aff4"/>
        <w:keepNext/>
        <w:jc w:val="left"/>
      </w:pPr>
      <w:r>
        <w:rPr>
          <w:rFonts w:ascii="Noto Sans CJK KR" w:hAnsi="Noto Sans CJK KR" w:eastAsia="Noto Sans CJK KR" w:cs="Noto Sans CJK KR"/>
          <w:b/>
          <w:sz w:val="20"/>
        </w:rPr>
        <w:t>2. 1866년 오버렌드 거니</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대형 할인상사 오버렌드 거니의 지급정지가 런던 단기금융시장의 공황을 촉발했다.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단기채무로 유동성이 낮고 위험한 자산을 보유했고, 시장참가자들은 기관의 건전성과 영란은행 지원 범위를 알기 어려웠다.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영란은행이 정부로부터 은행특허법상 발행제한의 일시 정지를 인정받아 대규모 유동성을 공급했다.</w:t>
      </w:r>
      <w:r>
        <w:rPr>
          <w:rFonts w:ascii="KoPubWorld바탕체_Pro Light" w:hAnsi="KoPubWorld바탕체_Pro Light" w:eastAsia="KoPubWorld바탕체_Pro Light" w:cs="KoPubWorld바탕체_Pro Light"/>
          <w:sz w:val="14"/>
          <w:vertAlign w:val="superscript"/>
        </w:rPr>
        <w:t>20</w:t>
      </w:r>
      <w:r>
        <w:rPr>
          <w:rFonts w:ascii="KoPubWorld바탕체_Pro Light" w:hAnsi="KoPubWorld바탕체_Pro Light" w:eastAsia="KoPubWorld바탕체_Pro Light" w:cs="KoPubWorld바탕체_Pro Light"/>
          <w:sz w:val="14"/>
          <w:vertAlign w:val="superscript"/>
        </w:rPr>
        <w:t>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배저트의 최종대부자 원칙이 위기대응의 공적 기준으로 자리 잡았다. 다만 이는 법률의 기계적 공식보다 역사적 정책규범이었다.</w:t>
      </w:r>
      <w:r>
        <w:rPr>
          <w:rFonts w:ascii="KoPubWorld바탕체_Pro Light" w:hAnsi="KoPubWorld바탕체_Pro Light" w:eastAsia="KoPubWorld바탕체_Pro Light" w:cs="KoPubWorld바탕체_Pro Light"/>
          <w:sz w:val="14"/>
          <w:vertAlign w:val="superscript"/>
        </w:rPr>
        <w:t>34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부실기관의 소유자와 채권자 손실은 남기되 시장 전체의 유동성은 지지한다는 구분이 핵심이었다.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좋은 담보와 지급불능을 위기 중에 즉시 가려내기는 어렵고, 지원 기대는 평시 위험선택을 바꾼다.</w:t>
      </w:r>
    </w:p>
    <w:p>
      <w:pPr>
        <w:spacing w:before="120" w:after="0"/>
      </w:pPr>
    </w:p>
    <w:p>
      <w:pPr>
        <w:pStyle w:val="aff4"/>
        <w:keepNext/>
        <w:jc w:val="left"/>
      </w:pPr>
      <w:r>
        <w:rPr>
          <w:rFonts w:ascii="Noto Sans CJK KR" w:hAnsi="Noto Sans CJK KR" w:eastAsia="Noto Sans CJK KR" w:cs="Noto Sans CJK KR"/>
          <w:b/>
          <w:sz w:val="20"/>
        </w:rPr>
        <w:t>3. 1907년 미국 공황</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투기 실패와 신탁회사 예금인출이 뉴욕 금융시장 전반의 현금수요로 번졌다.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신탁회사는 빠르게 성장했지만 은행과 다른 규제·준비 구조를 가졌고, 중앙은행이 없는 지급준비 체계는 계절적·지역적 충격에 약했다.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J. P. 모건을 중심으로 민간 금융가들이 장부를 검사하고 자금을 모아 구제 대상을 정했다.</w:t>
      </w:r>
      <w:r>
        <w:rPr>
          <w:rFonts w:ascii="KoPubWorld바탕체_Pro Light" w:hAnsi="KoPubWorld바탕체_Pro Light" w:eastAsia="KoPubWorld바탕체_Pro Light" w:cs="KoPubWorld바탕체_Pro Light"/>
          <w:sz w:val="14"/>
          <w:vertAlign w:val="superscript"/>
        </w:rPr>
        <w:t>39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1913년 연방준비제도가 탄생해 재할인, 준비금과 지급결제의 공적 중심을 만들었다.</w:t>
      </w:r>
      <w:r>
        <w:rPr>
          <w:rFonts w:ascii="KoPubWorld바탕체_Pro Light" w:hAnsi="KoPubWorld바탕체_Pro Light" w:eastAsia="KoPubWorld바탕체_Pro Light" w:cs="KoPubWorld바탕체_Pro Light"/>
          <w:sz w:val="14"/>
          <w:vertAlign w:val="superscript"/>
        </w:rPr>
        <w:t>40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민간 연합이 구제 여부를 결정하면서 공적 책임 없이 시장 접근을 통제한다는 문제가 드러났다.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중앙은행이 생겨도 감독권 분산과 은행 밖 단기금융의 취약성은 계속 남았다.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예금·결제·건전성 규제</w:t>
      </w:r>
    </w:p>
    <w:p>
      <w:pPr>
        <w:spacing w:before="40" w:after="0"/>
      </w:pPr>
    </w:p>
    <w:p>
      <w:pPr>
        <w:spacing w:before="120" w:after="0"/>
      </w:pPr>
    </w:p>
    <w:p>
      <w:pPr>
        <w:pStyle w:val="aff4"/>
        <w:keepNext/>
        <w:jc w:val="left"/>
      </w:pPr>
      <w:r>
        <w:rPr>
          <w:rFonts w:ascii="Noto Sans CJK KR" w:hAnsi="Noto Sans CJK KR" w:eastAsia="Noto Sans CJK KR" w:cs="Noto Sans CJK KR"/>
          <w:b/>
          <w:sz w:val="20"/>
        </w:rPr>
        <w:t>4. 1929-1933년 대공황과 은행공황</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1929년 주가폭락 뒤 경기수축과 여러 차례 은행공황이 이어졌다.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예금보험이 없고 은행이 지역·업무별로 분절됐으며, 자산가격 하락과 예금인출이 서로를 증폭했다.</w:t>
      </w:r>
      <w:r>
        <w:rPr>
          <w:rFonts w:ascii="KoPubWorld바탕체_Pro Light" w:hAnsi="KoPubWorld바탕체_Pro Light" w:eastAsia="KoPubWorld바탕체_Pro Light" w:cs="KoPubWorld바탕체_Pro Light"/>
          <w:sz w:val="14"/>
          <w:vertAlign w:val="superscript"/>
        </w:rPr>
        <w:t>44</w:t>
      </w:r>
      <w:r>
        <w:rPr>
          <w:rFonts w:ascii="KoPubWorld바탕체_Pro Light" w:hAnsi="KoPubWorld바탕체_Pro Light" w:eastAsia="KoPubWorld바탕체_Pro Light" w:cs="KoPubWorld바탕체_Pro Light"/>
          <w:sz w:val="14"/>
          <w:vertAlign w:val="superscript"/>
        </w:rPr>
        <w:t>48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1933년 전국 은행휴업, 건전성 심사와 단계적 재개방이 런의 속도를 끊었다.</w:t>
      </w:r>
      <w:r>
        <w:rPr>
          <w:rFonts w:ascii="KoPubWorld바탕체_Pro Light" w:hAnsi="KoPubWorld바탕체_Pro Light" w:eastAsia="KoPubWorld바탕체_Pro Light" w:cs="KoPubWorld바탕체_Pro Light"/>
          <w:sz w:val="14"/>
          <w:vertAlign w:val="superscript"/>
        </w:rPr>
        <w:t>49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FDIC, 연방 증권공시와 SEC, 상업은행과 증권업의 일부 분리, 중앙은행 기능 확대가 결합됐다.</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4"/>
          <w:vertAlign w:val="superscript"/>
        </w:rPr>
        <w:t>52</w:t>
      </w:r>
      <w:r>
        <w:rPr>
          <w:rFonts w:ascii="KoPubWorld바탕체_Pro Light" w:hAnsi="KoPubWorld바탕체_Pro Light" w:eastAsia="KoPubWorld바탕체_Pro Light" w:cs="KoPubWorld바탕체_Pro Light"/>
          <w:sz w:val="14"/>
          <w:vertAlign w:val="superscript"/>
        </w:rPr>
        <w:t>53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보험된 소액예금자를 보호하고 주주·경영진에게 손실과 퇴출을 부담시키되, 제도 전환에는 공적 신용이 사용됐다.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예금보험은 런을 줄이지만 보험료·감독이 위험에 맞지 않으면 도덕적 해이를 키울 수 있다.</w:t>
      </w:r>
    </w:p>
    <w:p>
      <w:pPr>
        <w:spacing w:before="120" w:after="0"/>
      </w:pPr>
    </w:p>
    <w:p>
      <w:pPr>
        <w:pStyle w:val="aff4"/>
        <w:keepNext/>
        <w:jc w:val="left"/>
      </w:pPr>
      <w:r>
        <w:rPr>
          <w:rFonts w:ascii="Noto Sans CJK KR" w:hAnsi="Noto Sans CJK KR" w:eastAsia="Noto Sans CJK KR" w:cs="Noto Sans CJK KR"/>
          <w:b/>
          <w:sz w:val="20"/>
        </w:rPr>
        <w:t>5. 1974년 헤르슈타트 결제실패</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독일 당국이 헤르슈타트은행을 영업일 중 폐쇄하면서 일부 거래상대방은 독일 마르크를 지급하고도 시차 때문에 달러를 받지 못했다.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외환의 두 다리가 서로 다른 시간대와 결제망에서 움직여 한쪽 지급 뒤 상대방이 부도날 수 있었다.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각국 중앙은행과 감독당국이 결제노출과 국경간 감독 공백을 점검했다.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1974년 말 바젤은행감독위원회가 만들어지고, 이후 모국·진출국 감독협력과 결제대금 동시지급 원칙이 발전했다.</w:t>
      </w:r>
      <w:r>
        <w:rPr>
          <w:rFonts w:ascii="KoPubWorld바탕체_Pro Light" w:hAnsi="KoPubWorld바탕체_Pro Light" w:eastAsia="KoPubWorld바탕체_Pro Light" w:cs="KoPubWorld바탕체_Pro Light"/>
          <w:sz w:val="14"/>
          <w:vertAlign w:val="superscript"/>
        </w:rPr>
        <w:t>76</w:t>
      </w:r>
      <w:r>
        <w:rPr>
          <w:rFonts w:ascii="KoPubWorld바탕체_Pro Light" w:hAnsi="KoPubWorld바탕체_Pro Light" w:eastAsia="KoPubWorld바탕체_Pro Light" w:cs="KoPubWorld바탕체_Pro Light"/>
          <w:sz w:val="14"/>
          <w:vertAlign w:val="superscript"/>
        </w:rPr>
        <w:t>78</w:t>
      </w:r>
      <w:r>
        <w:rPr>
          <w:rFonts w:ascii="KoPubWorld바탕체_Pro Light" w:hAnsi="KoPubWorld바탕체_Pro Light" w:eastAsia="KoPubWorld바탕체_Pro Light" w:cs="KoPubWorld바탕체_Pro Light"/>
          <w:sz w:val="14"/>
          <w:vertAlign w:val="superscript"/>
        </w:rPr>
        <w:t>224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결제를 먼저 완료한 거래상대방이 시간대와 절차가 만든 원금손실을 떠안았다.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실시간·동시결제가 확대돼도 참여기관, 통화와 운영시간이 다른 경계에서는 결제·운영위험이 남는다.</w:t>
      </w:r>
    </w:p>
    <w:p>
      <w:pPr>
        <w:spacing w:before="120" w:after="0"/>
      </w:pPr>
    </w:p>
    <w:p>
      <w:pPr>
        <w:pStyle w:val="aff4"/>
        <w:keepNext/>
        <w:jc w:val="left"/>
      </w:pPr>
      <w:r>
        <w:rPr>
          <w:rFonts w:ascii="Noto Sans CJK KR" w:hAnsi="Noto Sans CJK KR" w:eastAsia="Noto Sans CJK KR" w:cs="Noto Sans CJK KR"/>
          <w:b/>
          <w:sz w:val="20"/>
        </w:rPr>
        <w:t>6. 1980년대 미국 저축대부조합 위기</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금리상승이 장기 고정금리 주택대출의 가치와 저비용 예금 기반을 훼손했고 다수 기관이 부실화했다.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금리규제 완화, 예금보험과 느슨한 감독, 자본이 부족한 기관의 위험추구가 결합했다.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부실기관을 폐쇄·합병하고 공적 정리재원을 투입했다.</w:t>
      </w:r>
      <w:r>
        <w:rPr>
          <w:rFonts w:ascii="KoPubWorld바탕체_Pro Light" w:hAnsi="KoPubWorld바탕체_Pro Light" w:eastAsia="KoPubWorld바탕체_Pro Light" w:cs="KoPubWorld바탕체_Pro Light"/>
          <w:sz w:val="14"/>
          <w:vertAlign w:val="superscript"/>
        </w:rPr>
        <w:t>70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1989년 FIRREA가 감독기관과 정리체계를 재편하고 자본·회계·집행을 강화했다.</w:t>
      </w:r>
      <w:r>
        <w:rPr>
          <w:rFonts w:ascii="KoPubWorld바탕체_Pro Light" w:hAnsi="KoPubWorld바탕체_Pro Light" w:eastAsia="KoPubWorld바탕체_Pro Light" w:cs="KoPubWorld바탕체_Pro Light"/>
          <w:sz w:val="14"/>
          <w:vertAlign w:val="superscript"/>
        </w:rPr>
        <w:t>79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주주 손실만으로 부족한 정리비용의 상당 부분을 보험기금과 납세자가 부담했다.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금리위험은 오래된 대차대조표 위험이며, 보험된 자금과 규제유예가 만나면 손실이 늦게 드러난다.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세계화와 비은행의 전염</w:t>
      </w:r>
    </w:p>
    <w:p>
      <w:pPr>
        <w:spacing w:before="40" w:after="0"/>
      </w:pPr>
    </w:p>
    <w:p>
      <w:pPr>
        <w:spacing w:before="120" w:after="0"/>
      </w:pPr>
    </w:p>
    <w:p>
      <w:pPr>
        <w:pStyle w:val="aff4"/>
        <w:keepNext/>
        <w:jc w:val="left"/>
      </w:pPr>
      <w:r>
        <w:rPr>
          <w:rFonts w:ascii="Noto Sans CJK KR" w:hAnsi="Noto Sans CJK KR" w:eastAsia="Noto Sans CJK KR" w:cs="Noto Sans CJK KR"/>
          <w:b/>
          <w:sz w:val="20"/>
        </w:rPr>
        <w:t>7. 1997년 아시아·한국 외환위기</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태국 바트 불안에서 시작된 자본회수가 역내로 번지고 한국 금융회사의 단기외채 차환이 급격히 막혔다.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외화자산·부채 만기불일치, 기업 과잉차입, 종금사와 은행의 취약한 감독, 환율안정 기대가 결합했다.</w:t>
      </w:r>
      <w:r>
        <w:rPr>
          <w:rFonts w:ascii="KoPubWorld바탕체_Pro Light" w:hAnsi="KoPubWorld바탕체_Pro Light" w:eastAsia="KoPubWorld바탕체_Pro Light" w:cs="KoPubWorld바탕체_Pro Light"/>
          <w:sz w:val="14"/>
          <w:vertAlign w:val="superscript"/>
        </w:rPr>
        <w:t>83</w:t>
      </w:r>
      <w:r>
        <w:rPr>
          <w:rFonts w:ascii="KoPubWorld바탕체_Pro Light" w:hAnsi="KoPubWorld바탕체_Pro Light" w:eastAsia="KoPubWorld바탕체_Pro Light" w:cs="KoPubWorld바탕체_Pro Light"/>
          <w:sz w:val="14"/>
          <w:vertAlign w:val="superscript"/>
        </w:rPr>
        <w:t>155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IMF 지원, 고금리·외화유동성 확보, 예금 전액보호, 종금사 영업정지와 부실기관 정리가 시행됐다.</w:t>
      </w:r>
      <w:r>
        <w:rPr>
          <w:rFonts w:ascii="KoPubWorld바탕체_Pro Light" w:hAnsi="KoPubWorld바탕체_Pro Light" w:eastAsia="KoPubWorld바탕체_Pro Light" w:cs="KoPubWorld바탕체_Pro Light"/>
          <w:sz w:val="14"/>
          <w:vertAlign w:val="superscript"/>
        </w:rPr>
        <w:t>85</w:t>
      </w:r>
      <w:r>
        <w:rPr>
          <w:rFonts w:ascii="KoPubWorld바탕체_Pro Light" w:hAnsi="KoPubWorld바탕체_Pro Light" w:eastAsia="KoPubWorld바탕체_Pro Light" w:cs="KoPubWorld바탕체_Pro Light"/>
          <w:sz w:val="14"/>
          <w:vertAlign w:val="superscript"/>
        </w:rPr>
        <w:t>161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통합감독, 중앙은행 독립성 강화, 예금보험·정리, 외화유동성·공시와 기업지배구조 개혁이 진행됐다.</w:t>
      </w:r>
      <w:r>
        <w:rPr>
          <w:rFonts w:ascii="KoPubWorld바탕체_Pro Light" w:hAnsi="KoPubWorld바탕체_Pro Light" w:eastAsia="KoPubWorld바탕체_Pro Light" w:cs="KoPubWorld바탕체_Pro Light"/>
          <w:sz w:val="14"/>
          <w:vertAlign w:val="superscript"/>
        </w:rPr>
        <w:t>162</w:t>
      </w:r>
      <w:r>
        <w:rPr>
          <w:rFonts w:ascii="KoPubWorld바탕체_Pro Light" w:hAnsi="KoPubWorld바탕체_Pro Light" w:eastAsia="KoPubWorld바탕체_Pro Light" w:cs="KoPubWorld바탕체_Pro Light"/>
          <w:sz w:val="14"/>
          <w:vertAlign w:val="superscript"/>
        </w:rPr>
        <w:t>163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금융회사 주주·기업·근로자, 예금보험기금과 납세자 사이에 구조조정 비용이 분산됐다. 외화채권자의 만기연장도 손실시점의 재배분이었다.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건전성 지표가 좋아져도 글로벌 달러유동성, 외환시장과 국내 신용주기의 연결은 계속된다.</w:t>
      </w:r>
    </w:p>
    <w:p>
      <w:pPr>
        <w:spacing w:before="120" w:after="0"/>
      </w:pPr>
    </w:p>
    <w:p>
      <w:pPr>
        <w:pStyle w:val="aff4"/>
        <w:keepNext/>
        <w:jc w:val="left"/>
      </w:pPr>
      <w:r>
        <w:rPr>
          <w:rFonts w:ascii="Noto Sans CJK KR" w:hAnsi="Noto Sans CJK KR" w:eastAsia="Noto Sans CJK KR" w:cs="Noto Sans CJK KR"/>
          <w:b/>
          <w:sz w:val="20"/>
        </w:rPr>
        <w:t>8. 1998년 LTCM</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러시아 모라토리엄 뒤 가격수렴 거래가 동시에 역행하며 LTCM의 고레버리지 포지션이 급격히 손실을 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소수 전략에 대한 집중, 파생상품·환매조건부 거래와 여러 대형 거래상대방의 중복노출이 장부 밖 상호연결을 만들었다.</w:t>
      </w:r>
      <w:r>
        <w:rPr>
          <w:rFonts w:ascii="KoPubWorld바탕체_Pro Light" w:hAnsi="KoPubWorld바탕체_Pro Light" w:eastAsia="KoPubWorld바탕체_Pro Light" w:cs="KoPubWorld바탕체_Pro Light"/>
          <w:sz w:val="14"/>
          <w:vertAlign w:val="superscript"/>
        </w:rPr>
        <w:t>92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뉴욕연준이 회의를 주선하고 민간 금융회사들이 자본을 투입해 포지션의 질서 있는 축소를 도왔다. 연준이 LTCM에 공적자금을 직접 투입한 것은 아니다.</w:t>
      </w:r>
      <w:r>
        <w:rPr>
          <w:rFonts w:ascii="KoPubWorld바탕체_Pro Light" w:hAnsi="KoPubWorld바탕체_Pro Light" w:eastAsia="KoPubWorld바탕체_Pro Light" w:cs="KoPubWorld바탕체_Pro Light"/>
          <w:sz w:val="14"/>
          <w:vertAlign w:val="superscript"/>
        </w:rPr>
        <w:t>91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헤지펀드 직접규제보다 거래상대방 신용관리, 레버리지·파생노출과 시장인프라 감독 논의가 강화됐다.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기존 투자자는 큰 손실을 부담하고 거래상대방은 무질서한 청산의 외부효과를 피하기 위해 공동 비용을 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개별 펀드가 규제 밖이어도 은행·청산·담보망을 통해 시스템 안으로 들어온다.</w:t>
      </w:r>
    </w:p>
    <w:p>
      <w:pPr>
        <w:spacing w:before="120" w:after="0"/>
      </w:pPr>
    </w:p>
    <w:p>
      <w:pPr>
        <w:pStyle w:val="aff4"/>
        <w:keepNext/>
        <w:jc w:val="left"/>
      </w:pPr>
      <w:r>
        <w:rPr>
          <w:rFonts w:ascii="Noto Sans CJK KR" w:hAnsi="Noto Sans CJK KR" w:eastAsia="Noto Sans CJK KR" w:cs="Noto Sans CJK KR"/>
          <w:b/>
          <w:sz w:val="20"/>
        </w:rPr>
        <w:t>9. 2003년 한국 카드사태</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연체 증가와 카드채 시장 경색이 카드사의 단기 유동성 위기로 번졌다.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빠른 회원·대출 확대, 시장성 조달 의존, 취약한 상환능력 심사와 판매 인센티브가 결합했다.</w:t>
      </w:r>
      <w:r>
        <w:rPr>
          <w:rFonts w:ascii="KoPubWorld바탕체_Pro Light" w:hAnsi="KoPubWorld바탕체_Pro Light" w:eastAsia="KoPubWorld바탕체_Pro Light" w:cs="KoPubWorld바탕체_Pro Light"/>
          <w:sz w:val="14"/>
          <w:vertAlign w:val="superscript"/>
        </w:rPr>
        <w:t>169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채권시장안정 조치, 만기구조 조정과 대주주·채권단 지원으로 급격한 붕괴를 막았다.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여신전문금융회사의 레버리지·유동성, 신용정보와 채무조정, 가계대출 심사가 강화됐다.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카드사·대주주와 채권자뿐 아니라 고금리 채무를 진 가계가 장기간 비용을 부담했다.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소비자신용은 개별 소액계약처럼 보이지만 동일한 영업모형과 자금조달에 집중되면 시스템 사건이 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글로벌 위기 이후의 새 경계</w:t>
      </w:r>
    </w:p>
    <w:p>
      <w:pPr>
        <w:spacing w:before="40" w:after="0"/>
      </w:pPr>
    </w:p>
    <w:p>
      <w:pPr>
        <w:spacing w:before="120" w:after="0"/>
      </w:pPr>
    </w:p>
    <w:p>
      <w:pPr>
        <w:pStyle w:val="aff4"/>
        <w:keepNext/>
        <w:jc w:val="left"/>
      </w:pPr>
      <w:r>
        <w:rPr>
          <w:rFonts w:ascii="Noto Sans CJK KR" w:hAnsi="Noto Sans CJK KR" w:eastAsia="Noto Sans CJK KR" w:cs="Noto Sans CJK KR"/>
          <w:b/>
          <w:sz w:val="20"/>
        </w:rPr>
        <w:t>10. 2007-2009년 글로벌 금융위기</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미국 주택가격 하락과 서브프라임 부실이 증권화상품, 환매조건부·기업어음, CDS와 머니마켓펀드를 통해 번졌다.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높은 레버리지, 단기 도매조달, 부정확한 신용등급, 복잡한 유동화, 연결되지 않은 감독과 ‘대마불사’ 기대가 겹쳤다. 위기의 원인을 한 법률이나 한 집단으로 환원하면 이 전달망을 놓친다.</w:t>
      </w:r>
      <w:r>
        <w:rPr>
          <w:rFonts w:ascii="KoPubWorld바탕체_Pro Light" w:hAnsi="KoPubWorld바탕체_Pro Light" w:eastAsia="KoPubWorld바탕체_Pro Light" w:cs="KoPubWorld바탕체_Pro Light"/>
          <w:sz w:val="14"/>
          <w:vertAlign w:val="superscript"/>
        </w:rPr>
        <w:t>98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중앙은행 유동성시설, AIG 지원, TARP 자본확충, FDIC 지급보증과 통화스와프가 시장의 지급능력과 신뢰를 지지했다.</w:t>
      </w:r>
      <w:r>
        <w:rPr>
          <w:rFonts w:ascii="KoPubWorld바탕체_Pro Light" w:hAnsi="KoPubWorld바탕체_Pro Light" w:eastAsia="KoPubWorld바탕체_Pro Light" w:cs="KoPubWorld바탕체_Pro Light"/>
          <w:sz w:val="14"/>
          <w:vertAlign w:val="superscript"/>
        </w:rPr>
        <w:t>107</w:t>
      </w:r>
      <w:r>
        <w:rPr>
          <w:rFonts w:ascii="KoPubWorld바탕체_Pro Light" w:hAnsi="KoPubWorld바탕체_Pro Light" w:eastAsia="KoPubWorld바탕체_Pro Light" w:cs="KoPubWorld바탕체_Pro Light"/>
          <w:sz w:val="14"/>
          <w:vertAlign w:val="superscript"/>
        </w:rPr>
        <w:t>105</w:t>
      </w:r>
      <w:r>
        <w:rPr>
          <w:rFonts w:ascii="KoPubWorld바탕체_Pro Light" w:hAnsi="KoPubWorld바탕체_Pro Light" w:eastAsia="KoPubWorld바탕체_Pro Light" w:cs="KoPubWorld바탕체_Pro Light"/>
          <w:sz w:val="14"/>
          <w:vertAlign w:val="superscript"/>
        </w:rPr>
        <w:t>106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도드-프랭크, CFPB, 장외파생상품 인프라, 스트레스테스트, 바젤 III 자본·유동성, FSB 정리기준과 TLAC가 이어졌다.</w:t>
      </w:r>
      <w:r>
        <w:rPr>
          <w:rFonts w:ascii="KoPubWorld바탕체_Pro Light" w:hAnsi="KoPubWorld바탕체_Pro Light" w:eastAsia="KoPubWorld바탕체_Pro Light" w:cs="KoPubWorld바탕체_Pro Light"/>
          <w:sz w:val="14"/>
          <w:vertAlign w:val="superscript"/>
        </w:rPr>
        <w:t>110</w:t>
      </w:r>
      <w:r>
        <w:rPr>
          <w:rFonts w:ascii="KoPubWorld바탕체_Pro Light" w:hAnsi="KoPubWorld바탕체_Pro Light" w:eastAsia="KoPubWorld바탕체_Pro Light" w:cs="KoPubWorld바탕체_Pro Light"/>
          <w:sz w:val="14"/>
          <w:vertAlign w:val="superscript"/>
        </w:rPr>
        <w:t>116</w:t>
      </w:r>
      <w:r>
        <w:rPr>
          <w:rFonts w:ascii="KoPubWorld바탕체_Pro Light" w:hAnsi="KoPubWorld바탕체_Pro Light" w:eastAsia="KoPubWorld바탕체_Pro Light" w:cs="KoPubWorld바탕체_Pro Light"/>
          <w:sz w:val="14"/>
          <w:vertAlign w:val="superscript"/>
        </w:rPr>
        <w:t>122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주주·일부 채권자 손실과 대규모 공적지원이 함께 있었다. ‘구제’라는 한 단어 안에서도 대출, 보증, 자본투입과 자산매입은 위험과 회수조건이 달랐다.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위험은 은행에서 펀드·시장·중앙청산·사모신용과 기술제공자로 이동할 수 있다.</w:t>
      </w:r>
    </w:p>
    <w:p>
      <w:pPr>
        <w:spacing w:before="120" w:after="0"/>
      </w:pPr>
    </w:p>
    <w:p>
      <w:pPr>
        <w:pStyle w:val="aff4"/>
        <w:keepNext/>
        <w:jc w:val="left"/>
      </w:pPr>
      <w:r>
        <w:rPr>
          <w:rFonts w:ascii="Noto Sans CJK KR" w:hAnsi="Noto Sans CJK KR" w:eastAsia="Noto Sans CJK KR" w:cs="Noto Sans CJK KR"/>
          <w:b/>
          <w:sz w:val="20"/>
        </w:rPr>
        <w:t>11. 2020년 3월 현금 확보 경쟁</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팬데믹과 경제봉쇄 기대가 위험자산뿐 아니라 미 국채 등 안전자산의 대량매도와 단기자금 경색을 일으켰다.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개방형 펀드의 환매유인, 레버리지 투자자의 마진, 딜러 중개능력과 시장의 현금수요가 같은 방향으로 움직였다.</w:t>
      </w:r>
      <w:r>
        <w:rPr>
          <w:rFonts w:ascii="KoPubWorld바탕체_Pro Light" w:hAnsi="KoPubWorld바탕체_Pro Light" w:eastAsia="KoPubWorld바탕체_Pro Light" w:cs="KoPubWorld바탕체_Pro Light"/>
          <w:sz w:val="14"/>
          <w:vertAlign w:val="superscript"/>
        </w:rPr>
        <w:t>218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중앙은행이 국채·회사채·단기자금시장에 광범위한 유동성과 자산매입을 제공했다.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FSB는 비은행금융중개 NBFI의 유동성 불일치, 마진과 핵심시장 회복력을 장기 작업과제로 삼았다.</w:t>
      </w:r>
      <w:r>
        <w:rPr>
          <w:rFonts w:ascii="KoPubWorld바탕체_Pro Light" w:hAnsi="KoPubWorld바탕체_Pro Light" w:eastAsia="KoPubWorld바탕체_Pro Light" w:cs="KoPubWorld바탕체_Pro Light"/>
          <w:sz w:val="14"/>
          <w:vertAlign w:val="superscript"/>
        </w:rPr>
        <w:t>218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시장참가자의 평가손실은 남았지만 중앙은행 대차대조표가 시장기능 붕괴의 꼬리위험을 흡수했다.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은행 자본이 충분해도 시장유동성은 자동 공급되지 않으며, 공적시장개입 기대가 펀드의 사적 완충을 약화할 수 있다.</w:t>
      </w:r>
    </w:p>
    <w:p>
      <w:pPr>
        <w:spacing w:before="120" w:after="0"/>
      </w:pPr>
    </w:p>
    <w:p>
      <w:pPr>
        <w:pStyle w:val="aff4"/>
        <w:keepNext/>
        <w:jc w:val="left"/>
      </w:pPr>
      <w:r>
        <w:rPr>
          <w:rFonts w:ascii="Noto Sans CJK KR" w:hAnsi="Noto Sans CJK KR" w:eastAsia="Noto Sans CJK KR" w:cs="Noto Sans CJK KR"/>
          <w:b/>
          <w:sz w:val="20"/>
        </w:rPr>
        <w:t>12. 2022년 영국 LDI·국채시장 스트레스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재정정책 발표 뒤 장기국채 금리가 급등하고 확정급여형 연금의 LDI 펀드가 대규모 마진콜을 받았다.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파생상품 레버리지, 부족한 현금완충, 여러 펀드의 동질적 국채매도와 느린 연금 거버넌스가 시장의 흡수능력을 넘어섰다.</w:t>
      </w:r>
      <w:r>
        <w:rPr>
          <w:rFonts w:ascii="KoPubWorld바탕체_Pro Light" w:hAnsi="KoPubWorld바탕체_Pro Light" w:eastAsia="KoPubWorld바탕체_Pro Light" w:cs="KoPubWorld바탕체_Pro Light"/>
          <w:sz w:val="14"/>
          <w:vertAlign w:val="superscript"/>
        </w:rPr>
        <w:t>219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영란은행이 장기국채의 한시적·표적 매입을 발표해 시장기능을 회복할 시간을 벌었다.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LDI 유동성 완충, 스트레스테스트, 운영준비와 감독당국 간 데이터 공유가 강화됐다.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연금과 펀드가 가격손실·추가담보를 부담했지만 중앙은행이 시장붕괴 위험을 일시적으로 떠안았다.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비은행 레버리지는 여러 관할·감독자와 서비스업자에 나뉘어 있어 데이터 공백과 조정 지연이 재발할 수 있다.</w:t>
      </w:r>
    </w:p>
    <w:p>
      <w:pPr>
        <w:spacing w:before="120" w:after="0"/>
      </w:pPr>
    </w:p>
    <w:p>
      <w:pPr>
        <w:pStyle w:val="aff4"/>
        <w:keepNext/>
        <w:jc w:val="left"/>
      </w:pPr>
      <w:r>
        <w:rPr>
          <w:rFonts w:ascii="Noto Sans CJK KR" w:hAnsi="Noto Sans CJK KR" w:eastAsia="Noto Sans CJK KR" w:cs="Noto Sans CJK KR"/>
          <w:b/>
          <w:sz w:val="20"/>
        </w:rPr>
        <w:t>13. 2023년 미국 은행불안과 크레디트스위스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충격 — 금리상승에 따른 평가손실과 신뢰상실이 디지털 채널을 통한 빠른 예금인출로 이어졌고, 스위스에서는 크레디트스위스가 긴급 인수됐다.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취약성 — 무보험·집중예금, 장기증권의 금리위험, 자금조달 다변화 부족, 감독조치의 속도와 지배구조 문제가 달랐지만 동시에 드러났다.</w:t>
      </w:r>
      <w:r>
        <w:rPr>
          <w:rFonts w:ascii="KoPubWorld바탕체_Pro Light" w:hAnsi="KoPubWorld바탕체_Pro Light" w:eastAsia="KoPubWorld바탕체_Pro Light" w:cs="KoPubWorld바탕체_Pro Light"/>
          <w:sz w:val="14"/>
          <w:vertAlign w:val="superscript"/>
        </w:rPr>
        <w:t>126</w:t>
      </w:r>
      <w:r>
        <w:rPr>
          <w:rFonts w:ascii="KoPubWorld바탕체_Pro Light" w:hAnsi="KoPubWorld바탕체_Pro Light" w:eastAsia="KoPubWorld바탕체_Pro Light" w:cs="KoPubWorld바탕체_Pro Light"/>
          <w:sz w:val="14"/>
          <w:vertAlign w:val="superscript"/>
        </w:rPr>
        <w:t>128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응급조치 — 미국 당국은 파산은행을 정리하며 모든 예금자를 보호하고 새 유동성 프로그램을 가동했다. 스위스 당국은 UBS 인수를 지원했다.</w:t>
      </w:r>
      <w:r>
        <w:rPr>
          <w:rFonts w:ascii="KoPubWorld바탕체_Pro Light" w:hAnsi="KoPubWorld바탕체_Pro Light" w:eastAsia="KoPubWorld바탕체_Pro Light" w:cs="KoPubWorld바탕체_Pro Light"/>
          <w:sz w:val="14"/>
          <w:vertAlign w:val="superscript"/>
        </w:rPr>
        <w:t>127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영구제도 — 바젤위원회는 유동성·금리위험, 감독효과성과 예금보험·정리체계의 상호작용을 재검토했다.</w:t>
      </w:r>
      <w:r>
        <w:rPr>
          <w:rFonts w:ascii="KoPubWorld바탕체_Pro Light" w:hAnsi="KoPubWorld바탕체_Pro Light" w:eastAsia="KoPubWorld바탕체_Pro Light" w:cs="KoPubWorld바탕체_Pro Light"/>
          <w:sz w:val="14"/>
          <w:vertAlign w:val="superscript"/>
        </w:rPr>
        <w:t>119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손실배분 — 주주와 일부 자본증권 보유자가 큰 손실을 부담했지만, 예금자보호 범위와 중앙은행 유동성은 공적 안전망의 경계를 넓혔다.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남은 위험 — 규제비율을 충족해도 예금집중, 장부·시장가치의 차이와 소셜미디어 시대의 인출속도를 함께 보지 않으면 런의 시간을 따라잡기 어렵다.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이 지도를 사용하는 법</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첫째, 충격과 원인을 분리한다. 금리상승·주가하락·사기는 불씨이고 레버리지·불일치·상호연결이 전염경로다. 둘째, 유동성 지원과 지급불능 구제를 구별한다. 담보대출, 보증, 자본투입, 예금보험금과 손실상각은 비용·우선순위·회수 가능성이 다르다. 셋째, 새 규칙이 위험을 없앴는지보다 어디로 옮겼는지 본다. 은행의 자본을 높이면 대출이 펀드·유동화·사모시장으로 이동할 수 있다. 넷째, 영구제도에는 종료조건과 재검토가 있어야 한다. 위기의 기억은 규칙이 되지만, 낡은 경계는 다음 우회의 출발점이 된다.</w:t>
      </w:r>
    </w:p>
    <w:p>
      <w:r>
        <w:br w:type="page"/>
      </w:r>
    </w:p>
    <w:p>
      <w:pPr>
        <w:spacing w:before="360" w:after="0"/>
      </w:pPr>
    </w:p>
    <w:p>
      <w:pPr>
        <w:pStyle w:val="aff1"/>
        <w:jc w:val="center"/>
      </w:pPr>
      <w:r>
        <w:rPr>
          <w:rFonts w:ascii="KoPubWorld바탕체_Pro Bold" w:hAnsi="KoPubWorld바탕체_Pro Bold" w:eastAsia="KoPubWorld바탕체_Pro Bold" w:cs="KoPubWorld바탕체_Pro Bold"/>
          <w:b/>
          <w:sz w:val="28"/>
        </w:rPr>
        <w:t>부록 4. 한국 금융감독 기관 지도</w:t>
      </w:r>
    </w:p>
    <w:p>
      <w:pPr>
        <w:spacing w:before="100" w:after="0"/>
      </w:pPr>
    </w:p>
    <w:p>
      <w:pPr>
        <w:pStyle w:val="aff3"/>
        <w:spacing w:line="259" w:lineRule="auto"/>
      </w:pPr>
      <w:r>
        <w:rPr>
          <w:rFonts w:ascii="KoPubWorld바탕체_Pro Light" w:hAnsi="KoPubWorld바탕체_Pro Light" w:eastAsia="KoPubWorld바탕체_Pro Light" w:cs="KoPubWorld바탕체_Pro Light"/>
          <w:sz w:val="16"/>
        </w:rPr>
        <w:t>이 지도는 2026년 7월 14일 현재의 법적 명칭과 기능을 기준으로 한다. 가장 먼저 고쳐야 할 오래된 표기는 ‘기획재정부’다. 정부조직법 개정으로 2026년 1월 2일부터 기획재정부는 재정경제부로 개편됐고, 예산 기능은 기획예산처로 분리됐다. 재정경제부는 경제정책, 화폐·외환·국고·국제금융 등을 관장한다.</w:t>
      </w:r>
      <w:r>
        <w:rPr>
          <w:rFonts w:ascii="KoPubWorld바탕체_Pro Light" w:hAnsi="KoPubWorld바탕체_Pro Light" w:eastAsia="KoPubWorld바탕체_Pro Light" w:cs="KoPubWorld바탕체_Pro Light"/>
          <w:sz w:val="14"/>
          <w:vertAlign w:val="superscript"/>
        </w:rPr>
        <w:t>168</w:t>
      </w:r>
    </w:p>
    <w:p>
      <w:pPr>
        <w:pStyle w:val="aff3"/>
        <w:spacing w:line="259" w:lineRule="auto"/>
      </w:pPr>
      <w:r>
        <w:rPr>
          <w:rFonts w:ascii="KoPubWorld바탕체_Pro Light" w:hAnsi="KoPubWorld바탕체_Pro Light" w:eastAsia="KoPubWorld바탕체_Pro Light" w:cs="KoPubWorld바탕체_Pro Light"/>
          <w:sz w:val="16"/>
        </w:rPr>
        <w:t>한국의 금융규제는 한 기관이 입법·인가·검사·유동성·정리를 모두 하는 구조가 아니다. 규칙을 정하는 기관, 현장을 검사하는 기관, 돈과 결제를 지키는 기관, 실패한 금융회사를 정리하는 기관과 시장을 운영하는 기관이 권한을 나눈다. 기관명보다 무슨 위험을 어느 단계에서 다루는가를 따라가야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핵심 기관 일곱 곳</w:t>
      </w:r>
    </w:p>
    <w:p>
      <w:pPr>
        <w:spacing w:before="40" w:after="0"/>
      </w:pPr>
    </w:p>
    <w:p>
      <w:pPr>
        <w:spacing w:before="120" w:after="0"/>
      </w:pPr>
    </w:p>
    <w:p>
      <w:pPr>
        <w:pStyle w:val="aff4"/>
        <w:keepNext/>
        <w:jc w:val="left"/>
      </w:pPr>
      <w:r>
        <w:rPr>
          <w:rFonts w:ascii="Noto Sans CJK KR" w:hAnsi="Noto Sans CJK KR" w:eastAsia="Noto Sans CJK KR" w:cs="Noto Sans CJK KR"/>
          <w:b/>
          <w:sz w:val="20"/>
        </w:rPr>
        <w:t>재정경제부 — 거시경제·외환·국제금융의 축</w:t>
      </w:r>
    </w:p>
    <w:p>
      <w:pPr>
        <w:pStyle w:val="aff3"/>
        <w:spacing w:line="259" w:lineRule="auto"/>
      </w:pPr>
      <w:r>
        <w:rPr>
          <w:rFonts w:ascii="KoPubWorld바탕체_Pro Light" w:hAnsi="KoPubWorld바탕체_Pro Light" w:eastAsia="KoPubWorld바탕체_Pro Light" w:cs="KoPubWorld바탕체_Pro Light"/>
          <w:sz w:val="16"/>
        </w:rPr>
        <w:t>재정경제부는 경제정책의 수립·총괄·조정, 화폐·외환·국고·정부회계, 내국세제·관세, 국제금융, 공공기관 관리와 경제협력 등을 관장한다. 금융회사의 일상적 인가·검사기관은 아니지만 외환정책, 국제금융 협력, 위기 시 거시정책과 공적재원의 틀에서 핵심 역할을 한다.</w:t>
      </w:r>
      <w:r>
        <w:rPr>
          <w:rFonts w:ascii="KoPubWorld바탕체_Pro Light" w:hAnsi="KoPubWorld바탕체_Pro Light" w:eastAsia="KoPubWorld바탕체_Pro Light" w:cs="KoPubWorld바탕체_Pro Light"/>
          <w:sz w:val="14"/>
          <w:vertAlign w:val="superscript"/>
        </w:rPr>
        <w:t>168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주요 수단 — 외환정책과 외국환제도, 국제금융기구 협력, 국고·국유재산, 거시경제 조정.</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위기 때 — 외화유동성·대외신인도·재정 대응을 금융위원회·한국은행 등과 조정한다.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혼동 주의 — 은행 인가, 일상 검사와 금융소비자 분쟁을 재정경제부가 직접 담당한다고 보면 안 된다.</w:t>
      </w:r>
    </w:p>
    <w:p>
      <w:pPr>
        <w:spacing w:before="120" w:after="0"/>
      </w:pPr>
    </w:p>
    <w:p>
      <w:pPr>
        <w:pStyle w:val="aff4"/>
        <w:keepNext/>
        <w:jc w:val="left"/>
      </w:pPr>
      <w:r>
        <w:rPr>
          <w:rFonts w:ascii="Noto Sans CJK KR" w:hAnsi="Noto Sans CJK KR" w:eastAsia="Noto Sans CJK KR" w:cs="Noto Sans CJK KR"/>
          <w:b/>
          <w:sz w:val="20"/>
        </w:rPr>
        <w:t>금융위원회 — 금융정책·감독정책·인가와 제재의 중심</w:t>
      </w:r>
    </w:p>
    <w:p>
      <w:pPr>
        <w:pStyle w:val="aff3"/>
        <w:spacing w:line="259" w:lineRule="auto"/>
      </w:pPr>
      <w:r>
        <w:rPr>
          <w:rFonts w:ascii="KoPubWorld바탕체_Pro Light" w:hAnsi="KoPubWorld바탕체_Pro Light" w:eastAsia="KoPubWorld바탕체_Pro Light" w:cs="KoPubWorld바탕체_Pro Light"/>
          <w:sz w:val="16"/>
        </w:rPr>
        <w:t>금융위원회는 국무총리 소속 중앙행정기관으로 금융정책, 외국환업무 취급기관의 건전성 감독과 금융감독 업무를 수행한다. 법은 금융산업의 선진화와 시장안정, 건전한 신용질서, 공정한 거래관행과 금융수요자 보호를 목적으로 둔다.</w:t>
      </w:r>
      <w:r>
        <w:rPr>
          <w:rFonts w:ascii="KoPubWorld바탕체_Pro Light" w:hAnsi="KoPubWorld바탕체_Pro Light" w:eastAsia="KoPubWorld바탕체_Pro Light" w:cs="KoPubWorld바탕체_Pro Light"/>
          <w:sz w:val="14"/>
          <w:vertAlign w:val="superscript"/>
        </w:rPr>
        <w:t>225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주요 수단 — 업권별 인가·등록, 감독규정 제·개정, 건전성·영업행위 정책, 금융시장 안정조치, 금융감독원 지도·감독.</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위원회 구조 — 금융위원회 안에 증권·선물시장의 불공정거래와 회계·공시 관련 중요 안건을 다루는 증권선물위원회가 있다. 금융정보분석원은 금융위원회 소속기관이다.</w:t>
      </w:r>
      <w:r>
        <w:rPr>
          <w:rFonts w:ascii="KoPubWorld바탕체_Pro Light" w:hAnsi="KoPubWorld바탕체_Pro Light" w:eastAsia="KoPubWorld바탕체_Pro Light" w:cs="KoPubWorld바탕체_Pro Light"/>
          <w:sz w:val="14"/>
          <w:vertAlign w:val="superscript"/>
        </w:rPr>
        <w:t>226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혼동 주의 — 금융위원회가 모든 현장검사를 직접 하는 것은 아니다. 검사·상시감시의 많은 부분은 금융감독원이 수행한다.</w:t>
      </w:r>
    </w:p>
    <w:p>
      <w:pPr>
        <w:spacing w:before="120" w:after="0"/>
      </w:pPr>
    </w:p>
    <w:p>
      <w:pPr>
        <w:pStyle w:val="aff4"/>
        <w:keepNext/>
        <w:jc w:val="left"/>
      </w:pPr>
      <w:r>
        <w:rPr>
          <w:rFonts w:ascii="Noto Sans CJK KR" w:hAnsi="Noto Sans CJK KR" w:eastAsia="Noto Sans CJK KR" w:cs="Noto Sans CJK KR"/>
          <w:b/>
          <w:sz w:val="20"/>
        </w:rPr>
        <w:t>금융감독원 — 검사·상시감시·소비자 접점</w:t>
      </w:r>
    </w:p>
    <w:p>
      <w:pPr>
        <w:pStyle w:val="aff3"/>
        <w:spacing w:line="259" w:lineRule="auto"/>
      </w:pPr>
      <w:r>
        <w:rPr>
          <w:rFonts w:ascii="KoPubWorld바탕체_Pro Light" w:hAnsi="KoPubWorld바탕체_Pro Light" w:eastAsia="KoPubWorld바탕체_Pro Light" w:cs="KoPubWorld바탕체_Pro Light"/>
          <w:sz w:val="16"/>
        </w:rPr>
        <w:t>금융감독원은 금융위원회법에 따라 설립된 무자본 특수법인으로, 금융위원회와 증권선물위원회의 지도·감독 아래 금융회사 검사, 감독업무 지원, 공시·회계 감독과 금융소비자 보호 업무를 수행한다. 정부 부처는 아니지만 공권적 감독업무를 맡는다.</w:t>
      </w:r>
      <w:r>
        <w:rPr>
          <w:rFonts w:ascii="KoPubWorld바탕체_Pro Light" w:hAnsi="KoPubWorld바탕체_Pro Light" w:eastAsia="KoPubWorld바탕체_Pro Light" w:cs="KoPubWorld바탕체_Pro Light"/>
          <w:sz w:val="14"/>
          <w:vertAlign w:val="superscript"/>
        </w:rPr>
        <w:t>225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주요 수단 — 금융회사 경영실태·건전성 검사, 상시감시, 검사결과에 따른 조치 건의·일부 제재, 회계감리, 민원·분쟁조정과 금융교육.</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정보의 흐름 — 정기 업무보고와 공시자료, 검사자료, 민원과 시장정보를 결합해 위험을 찾는다.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혼동 주의 — 금감원의 검사결과와 최종 법적 제재주체가 항상 같지는 않다. 제재 수준과 업권에 따라 금융위·증선위 또는 금감원장 권한이 나뉜다.</w:t>
      </w:r>
    </w:p>
    <w:p>
      <w:pPr>
        <w:spacing w:before="120" w:after="0"/>
      </w:pPr>
    </w:p>
    <w:p>
      <w:pPr>
        <w:pStyle w:val="aff4"/>
        <w:keepNext/>
        <w:jc w:val="left"/>
      </w:pPr>
      <w:r>
        <w:rPr>
          <w:rFonts w:ascii="Noto Sans CJK KR" w:hAnsi="Noto Sans CJK KR" w:eastAsia="Noto Sans CJK KR" w:cs="Noto Sans CJK KR"/>
          <w:b/>
          <w:sz w:val="20"/>
        </w:rPr>
        <w:t>한국은행 — 통화·최종결제·금융안정</w:t>
      </w:r>
    </w:p>
    <w:p>
      <w:pPr>
        <w:pStyle w:val="aff3"/>
        <w:spacing w:line="259" w:lineRule="auto"/>
      </w:pPr>
      <w:r>
        <w:rPr>
          <w:rFonts w:ascii="KoPubWorld바탕체_Pro Light" w:hAnsi="KoPubWorld바탕체_Pro Light" w:eastAsia="KoPubWorld바탕체_Pro Light" w:cs="KoPubWorld바탕체_Pro Light"/>
          <w:sz w:val="16"/>
        </w:rPr>
        <w:t>한국은행은 물가안정을 위한 통화신용정책을 수립·집행하고 금융안정에 유의하며, 화폐발행과 금융기관 간 최종결제자산 제공, 거액결제시스템 운영·감시를 담당한다. 발권력과 결제망은 위기 때 유동성을 공급할 수 있는 제도적 기반이다.</w:t>
      </w:r>
      <w:r>
        <w:rPr>
          <w:rFonts w:ascii="KoPubWorld바탕체_Pro Light" w:hAnsi="KoPubWorld바탕체_Pro Light" w:eastAsia="KoPubWorld바탕체_Pro Light" w:cs="KoPubWorld바탕체_Pro Light"/>
          <w:sz w:val="14"/>
          <w:vertAlign w:val="superscript"/>
        </w:rPr>
        <w:t>142</w:t>
      </w:r>
      <w:r>
        <w:rPr>
          <w:rFonts w:ascii="KoPubWorld바탕체_Pro Light" w:hAnsi="KoPubWorld바탕체_Pro Light" w:eastAsia="KoPubWorld바탕체_Pro Light" w:cs="KoPubWorld바탕체_Pro Light"/>
          <w:sz w:val="14"/>
          <w:vertAlign w:val="superscript"/>
        </w:rPr>
        <w:t>227</w:t>
      </w:r>
      <w:r>
        <w:rPr>
          <w:rFonts w:ascii="KoPubWorld바탕체_Pro Light" w:hAnsi="KoPubWorld바탕체_Pro Light" w:eastAsia="KoPubWorld바탕체_Pro Light" w:cs="KoPubWorld바탕체_Pro Light"/>
          <w:sz w:val="14"/>
          <w:vertAlign w:val="superscript"/>
        </w:rPr>
        <w:t>228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주요 수단 — 기준금리와 공개시장운영, 금융기관 대출, 지급준비, 한은금융망, 금융안정보고서와 시장 모니터링.</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감독과의 관계 — 1999년 통합감독 출범 뒤 일반적 은행감독기관은 금융감독원이다. 한국은행은 통화신용정책·금융안정 수행에 필요한 자료요구, 금융감독원과의 공동검사 요구 등 법정 수단을 가진다.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혼동 주의 — ‘최종대부자’는 모든 부실기관의 손실을 메우는 보증이 아니다. 유동성 공급과 자본·정리는 법적 목적, 담보와 손실부담이 다르다.</w:t>
      </w:r>
    </w:p>
    <w:p>
      <w:pPr>
        <w:spacing w:before="120" w:after="0"/>
      </w:pPr>
    </w:p>
    <w:p>
      <w:pPr>
        <w:pStyle w:val="aff4"/>
        <w:keepNext/>
        <w:jc w:val="left"/>
      </w:pPr>
      <w:r>
        <w:rPr>
          <w:rFonts w:ascii="Noto Sans CJK KR" w:hAnsi="Noto Sans CJK KR" w:eastAsia="Noto Sans CJK KR" w:cs="Noto Sans CJK KR"/>
          <w:b/>
          <w:sz w:val="20"/>
        </w:rPr>
        <w:t>예금보험공사 — 예금보호·부실감시·정리</w:t>
      </w:r>
    </w:p>
    <w:p>
      <w:pPr>
        <w:pStyle w:val="aff3"/>
        <w:spacing w:line="259" w:lineRule="auto"/>
      </w:pPr>
      <w:r>
        <w:rPr>
          <w:rFonts w:ascii="KoPubWorld바탕체_Pro Light" w:hAnsi="KoPubWorld바탕체_Pro Light" w:eastAsia="KoPubWorld바탕체_Pro Light" w:cs="KoPubWorld바탕체_Pro Light"/>
          <w:sz w:val="16"/>
        </w:rPr>
        <w:t>예금보험공사는 예금자보호법에 따른 예금보험제도를 운영한다. 보험료를 받고, 부실위험을 감시하며, 보험사고 때 보험금을 지급하고, 부실금융회사 정리와 지원자금 회수·부실책임 조사를 수행한다.</w:t>
      </w:r>
      <w:r>
        <w:rPr>
          <w:rFonts w:ascii="KoPubWorld바탕체_Pro Light" w:hAnsi="KoPubWorld바탕체_Pro Light" w:eastAsia="KoPubWorld바탕체_Pro Light" w:cs="KoPubWorld바탕체_Pro Light"/>
          <w:sz w:val="14"/>
          <w:vertAlign w:val="superscript"/>
        </w:rPr>
        <w:t>160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주요 수단 — 예금보험료와 기금, 위험감시, 보험금 지급, 자금지원·매각·정리금융회사, 파산배당과 책임재산 환수.</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보호범위 — 2025년 9월 1일부터 금융회사별 1인당 원금과 소정 이자를 합해 최대 1억 원이 보호된다. 모든 금융상품이 보호되는 것은 아니므로 상품의 ‘예금보호 대상’ 표시를 확인해야 한다.</w:t>
      </w:r>
      <w:r>
        <w:rPr>
          <w:rFonts w:ascii="KoPubWorld바탕체_Pro Light" w:hAnsi="KoPubWorld바탕체_Pro Light" w:eastAsia="KoPubWorld바탕체_Pro Light" w:cs="KoPubWorld바탕체_Pro Light"/>
          <w:sz w:val="14"/>
          <w:vertAlign w:val="superscript"/>
        </w:rPr>
        <w:t>165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혼동 주의 — 예금보호는 금융회사 자체나 투자수익을 보증하는 제도가 아니다. 보험된 예금자의 신속한 접근과 실패기관의 정리는 동시에 설계돼야 한다.</w:t>
      </w:r>
    </w:p>
    <w:p>
      <w:pPr>
        <w:spacing w:before="120" w:after="0"/>
      </w:pPr>
    </w:p>
    <w:p>
      <w:pPr>
        <w:pStyle w:val="aff4"/>
        <w:keepNext/>
        <w:jc w:val="left"/>
      </w:pPr>
      <w:r>
        <w:rPr>
          <w:rFonts w:ascii="Noto Sans CJK KR" w:hAnsi="Noto Sans CJK KR" w:eastAsia="Noto Sans CJK KR" w:cs="Noto Sans CJK KR"/>
          <w:b/>
          <w:sz w:val="20"/>
        </w:rPr>
        <w:t>금융정보분석원 KoFIU — 자금세탁방지 정보의 허브</w:t>
      </w:r>
    </w:p>
    <w:p>
      <w:pPr>
        <w:pStyle w:val="aff3"/>
        <w:spacing w:line="259" w:lineRule="auto"/>
      </w:pPr>
      <w:r>
        <w:rPr>
          <w:rFonts w:ascii="KoPubWorld바탕체_Pro Light" w:hAnsi="KoPubWorld바탕체_Pro Light" w:eastAsia="KoPubWorld바탕체_Pro Light" w:cs="KoPubWorld바탕체_Pro Light"/>
          <w:sz w:val="16"/>
        </w:rPr>
        <w:t>금융정보분석원은 금융위원회 소속기관으로 자금세탁·테러자금조달 방지 정책과 법령, 의심거래보고 접수·분석, 법집행기관 정보제공, 금융회사 등의 AML 의무 검사·감독과 국제협력을 수행한다.</w:t>
      </w:r>
      <w:r>
        <w:rPr>
          <w:rFonts w:ascii="KoPubWorld바탕체_Pro Light" w:hAnsi="KoPubWorld바탕체_Pro Light" w:eastAsia="KoPubWorld바탕체_Pro Light" w:cs="KoPubWorld바탕체_Pro Light"/>
          <w:sz w:val="14"/>
          <w:vertAlign w:val="superscript"/>
        </w:rPr>
        <w:t>229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주요 수단 — 고객확인 CDD, 의심거래보고 STR, 고액현금거래보고 CTR, 위험기반 감독과 외국 FIU 정보교환.</w:t>
      </w:r>
      <w:r>
        <w:rPr>
          <w:rFonts w:ascii="KoPubWorld바탕체_Pro Light" w:hAnsi="KoPubWorld바탕체_Pro Light" w:eastAsia="KoPubWorld바탕체_Pro Light" w:cs="KoPubWorld바탕체_Pro Light"/>
          <w:sz w:val="14"/>
          <w:vertAlign w:val="superscript"/>
        </w:rPr>
        <w:t>230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정보의 흐름 — 금융회사·가상자산사업자 등이 보고한 거래정보를 분석해 범죄·자금세탁 관련성이 있다고 판단하면 법률이 허용한 범위에서 수사·과세 등 법집행기관에 제공한다.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혼동 주의 — STR은 범죄확정 판정이 아니라 합리적 의심에 기초한 비공개 보고다. 고객에게 보고 사실을 알리는 행위도 제한된다.</w:t>
      </w:r>
    </w:p>
    <w:p>
      <w:pPr>
        <w:spacing w:before="120" w:after="0"/>
      </w:pPr>
    </w:p>
    <w:p>
      <w:pPr>
        <w:pStyle w:val="aff4"/>
        <w:keepNext/>
        <w:jc w:val="left"/>
      </w:pPr>
      <w:r>
        <w:rPr>
          <w:rFonts w:ascii="Noto Sans CJK KR" w:hAnsi="Noto Sans CJK KR" w:eastAsia="Noto Sans CJK KR" w:cs="Noto Sans CJK KR"/>
          <w:b/>
          <w:sz w:val="20"/>
        </w:rPr>
        <w:t>한국거래소 KRX — 시장운영·상장공시·감시·청산</w:t>
      </w:r>
    </w:p>
    <w:p>
      <w:pPr>
        <w:pStyle w:val="aff3"/>
        <w:spacing w:line="259" w:lineRule="auto"/>
      </w:pPr>
      <w:r>
        <w:rPr>
          <w:rFonts w:ascii="KoPubWorld바탕체_Pro Light" w:hAnsi="KoPubWorld바탕체_Pro Light" w:eastAsia="KoPubWorld바탕체_Pro Light" w:cs="KoPubWorld바탕체_Pro Light"/>
          <w:sz w:val="16"/>
        </w:rPr>
        <w:t>한국거래소는 유가증권·코스닥·코넥스·파생상품시장을 개설·운영하고, 상장·공시, 시장감시와 이상거래 심리, 회원감리, 청산·결제와 거래정보 저장 업무를 수행한다. 거래소이면서 중앙청산기관 역할을 담당하지만 정부의 최종 규제기관과 동일하지는 않다.</w:t>
      </w:r>
      <w:r>
        <w:rPr>
          <w:rFonts w:ascii="KoPubWorld바탕체_Pro Light" w:hAnsi="KoPubWorld바탕체_Pro Light" w:eastAsia="KoPubWorld바탕체_Pro Light" w:cs="KoPubWorld바탕체_Pro Light"/>
          <w:sz w:val="14"/>
          <w:vertAlign w:val="superscript"/>
        </w:rPr>
        <w:t>231</w:t>
      </w:r>
      <w:r>
        <w:rPr>
          <w:rFonts w:ascii="KoPubWorld바탕체_Pro Light" w:hAnsi="KoPubWorld바탕체_Pro Light" w:eastAsia="KoPubWorld바탕체_Pro Light" w:cs="KoPubWorld바탕체_Pro Light"/>
          <w:sz w:val="14"/>
          <w:vertAlign w:val="superscript"/>
        </w:rPr>
        <w:t>232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주요 수단 — 상장규정, 매매거래정지·시장경보, 공시심사, 이상거래 심리, 회원감리, 증거금·공동기금과 채무인수에 기초한 청산위험관리.</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정보의 흐름 — 주문·체결 패턴을 감시해 불공정거래 혐의를 심리하고 금융위·금감원 등 조사기관에 넘긴다.</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혼동 주의 — 거래소의 시장조치, 금융감독당국의 행정제재, 수사기관의 형사수사와 법원의 유죄판단은 서로 다른 단계다.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함께 움직이는 위원회와 주변 기관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증권선물위원회는 금융위원회 내부의 합의제 기관으로 자본시장 불공정거래 조사, 기업회계기준과 감리, 중요 제재를 심의·의결한다. 금융통화위원회는 한국은행의 통화신용정책에 관한 최고 의사결정기구다. 이름에 모두 ‘위원회’가 들어가지만 전자는 자본시장 감독, 후자는 중앙은행 정책을 담당한다.</w:t>
      </w:r>
    </w:p>
    <w:p>
      <w:pPr>
        <w:pStyle w:val="aff3"/>
        <w:spacing w:line="259" w:lineRule="auto"/>
      </w:pPr>
      <w:r>
        <w:rPr>
          <w:rFonts w:ascii="KoPubWorld바탕체_Pro Light" w:hAnsi="KoPubWorld바탕체_Pro Light" w:eastAsia="KoPubWorld바탕체_Pro Light" w:cs="KoPubWorld바탕체_Pro Light"/>
          <w:sz w:val="16"/>
        </w:rPr>
        <w:t>국회는 은행법·자본시장법·보험업법·금융소비자보호법 등 법률을 제정·개정하고 예산·국정감사로 행정부를 통제한다. 법원은 제재·계약·손해배상과 도산의 최종 법적 판단을 하고, 수사기관은 시세조종·횡령·자금세탁 등 범죄를 수사·기소한다. 행정규제만으로 금융법의 전 과정이 끝나지 않는다.</w:t>
      </w:r>
    </w:p>
    <w:p>
      <w:pPr>
        <w:pStyle w:val="aff3"/>
        <w:spacing w:line="259" w:lineRule="auto"/>
      </w:pPr>
      <w:r>
        <w:rPr>
          <w:rFonts w:ascii="KoPubWorld바탕체_Pro Light" w:hAnsi="KoPubWorld바탕체_Pro Light" w:eastAsia="KoPubWorld바탕체_Pro Light" w:cs="KoPubWorld바탕체_Pro Light"/>
          <w:sz w:val="16"/>
        </w:rPr>
        <w:t>상호금융의 일부에는 금융위·금감원 외에 행정안전부, 농림축산 관련 부처와 중앙회가 관여한다. 공정거래·개인정보·전자통신·조세·외환도 각각 공정거래위원회, 개인정보보호위원회, 과학기술정보통신 관련 기관, 국세청·관세청과 재정경제부 등과 겹칠 수 있다. ‘금융상품’이라는 이유만으로 모든 권한이 금융당국에 모이지 않는다.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사건별 권한 흐름</w:t>
      </w:r>
    </w:p>
    <w:p>
      <w:pPr>
        <w:spacing w:before="40" w:after="0"/>
      </w:pPr>
    </w:p>
    <w:p>
      <w:pPr>
        <w:spacing w:before="120" w:after="0"/>
      </w:pPr>
    </w:p>
    <w:p>
      <w:pPr>
        <w:pStyle w:val="aff4"/>
        <w:keepNext/>
        <w:jc w:val="left"/>
      </w:pPr>
      <w:r>
        <w:rPr>
          <w:rFonts w:ascii="Noto Sans CJK KR" w:hAnsi="Noto Sans CJK KR" w:eastAsia="Noto Sans CJK KR" w:cs="Noto Sans CJK KR"/>
          <w:b/>
          <w:sz w:val="20"/>
        </w:rPr>
        <w:t>새 금융업을 시작할 때</w:t>
      </w:r>
    </w:p>
    <w:p>
      <w:pPr>
        <w:pStyle w:val="aff3"/>
        <w:spacing w:line="259" w:lineRule="auto"/>
      </w:pPr>
      <w:r>
        <w:rPr>
          <w:rFonts w:ascii="KoPubWorld바탕체_Pro Light" w:hAnsi="KoPubWorld바탕체_Pro Light" w:eastAsia="KoPubWorld바탕체_Pro Light" w:cs="KoPubWorld바탕체_Pro Light"/>
          <w:sz w:val="16"/>
        </w:rPr>
        <w:t>국회 법률 → 금융위원회 인가·등록 및 감독규정 → 금융감독원 심사·검사 → 시장·결제 인프라 접속 순으로 본다. 전자금융업, 가상자산사업자, 혁신금융서비스처럼 법적 지위가 다른 경우에는 ‘인가’, ‘등록’, ‘신고수리’, ‘지정’을 구별해야 한다. 같은 ‘허가받은 회사’라는 말로 뭉치면 자본·업무범위와 소비자보호가 달라진다.</w:t>
      </w:r>
    </w:p>
    <w:p>
      <w:pPr>
        <w:spacing w:before="120" w:after="0"/>
      </w:pPr>
    </w:p>
    <w:p>
      <w:pPr>
        <w:pStyle w:val="aff4"/>
        <w:keepNext/>
        <w:jc w:val="left"/>
      </w:pPr>
      <w:r>
        <w:rPr>
          <w:rFonts w:ascii="Noto Sans CJK KR" w:hAnsi="Noto Sans CJK KR" w:eastAsia="Noto Sans CJK KR" w:cs="Noto Sans CJK KR"/>
          <w:b/>
          <w:sz w:val="20"/>
        </w:rPr>
        <w:t>은행이 유동성 압박을 받을 때</w:t>
      </w:r>
    </w:p>
    <w:p>
      <w:pPr>
        <w:pStyle w:val="aff3"/>
        <w:spacing w:line="259" w:lineRule="auto"/>
      </w:pPr>
      <w:r>
        <w:rPr>
          <w:rFonts w:ascii="KoPubWorld바탕체_Pro Light" w:hAnsi="KoPubWorld바탕체_Pro Light" w:eastAsia="KoPubWorld바탕체_Pro Light" w:cs="KoPubWorld바탕체_Pro Light"/>
          <w:sz w:val="16"/>
        </w:rPr>
        <w:t>금융회사 자체 유동성 → 시장·계열 지원 → 한국은행 유동성 → 금융위·금감원의 건전성 판단 → 예보의 정리·예금보호라는 층을 구분한다. 한국은행 대출은 시간을 벌 수 있지만 자본잠식을 없애지 않는다. 지급불능이면 주주·채권자의 손실흡수와 정리수단이 필요하다.</w:t>
      </w:r>
      <w:r>
        <w:rPr>
          <w:rFonts w:ascii="KoPubWorld바탕체_Pro Light" w:hAnsi="KoPubWorld바탕체_Pro Light" w:eastAsia="KoPubWorld바탕체_Pro Light" w:cs="KoPubWorld바탕체_Pro Light"/>
          <w:sz w:val="14"/>
          <w:vertAlign w:val="superscript"/>
        </w:rPr>
        <w:t>227</w:t>
      </w:r>
      <w:r>
        <w:rPr>
          <w:rFonts w:ascii="KoPubWorld바탕체_Pro Light" w:hAnsi="KoPubWorld바탕체_Pro Light" w:eastAsia="KoPubWorld바탕체_Pro Light" w:cs="KoPubWorld바탕체_Pro Light"/>
          <w:sz w:val="14"/>
          <w:vertAlign w:val="superscript"/>
        </w:rPr>
        <w:t>122</w:t>
      </w:r>
    </w:p>
    <w:p>
      <w:pPr>
        <w:spacing w:before="120" w:after="0"/>
      </w:pPr>
    </w:p>
    <w:p>
      <w:pPr>
        <w:pStyle w:val="aff4"/>
        <w:keepNext/>
        <w:jc w:val="left"/>
      </w:pPr>
      <w:r>
        <w:rPr>
          <w:rFonts w:ascii="Noto Sans CJK KR" w:hAnsi="Noto Sans CJK KR" w:eastAsia="Noto Sans CJK KR" w:cs="Noto Sans CJK KR"/>
          <w:b/>
          <w:sz w:val="20"/>
        </w:rPr>
        <w:t>금융회사가 실패할 때</w:t>
      </w:r>
    </w:p>
    <w:p>
      <w:pPr>
        <w:pStyle w:val="aff3"/>
        <w:spacing w:line="259" w:lineRule="auto"/>
      </w:pPr>
      <w:r>
        <w:rPr>
          <w:rFonts w:ascii="KoPubWorld바탕체_Pro Light" w:hAnsi="KoPubWorld바탕체_Pro Light" w:eastAsia="KoPubWorld바탕체_Pro Light" w:cs="KoPubWorld바탕체_Pro Light"/>
          <w:sz w:val="16"/>
        </w:rPr>
        <w:t>금감원은 부실상태를 검사·판단하고 금융위가 적기시정조치·영업정지·인가취소 등 법정 결정을 한다. 예보는 보험금 지급, 매각·합병·자금지원과 회수를 집행한다. 한국은행은 시스템 유동성과 지급결제를, 재정경제부는 거시·외환과 필요한 공적재원·국제협력을 본다. 위기대응회의의 협업은 각 기관의 법적 권한을 없애지 않는다.</w:t>
      </w:r>
    </w:p>
    <w:p>
      <w:pPr>
        <w:spacing w:before="120" w:after="0"/>
      </w:pPr>
    </w:p>
    <w:p>
      <w:pPr>
        <w:pStyle w:val="aff4"/>
        <w:keepNext/>
        <w:jc w:val="left"/>
      </w:pPr>
      <w:r>
        <w:rPr>
          <w:rFonts w:ascii="Noto Sans CJK KR" w:hAnsi="Noto Sans CJK KR" w:eastAsia="Noto Sans CJK KR" w:cs="Noto Sans CJK KR"/>
          <w:b/>
          <w:sz w:val="20"/>
        </w:rPr>
        <w:t>불완전판매·소비자분쟁이 생길 때</w:t>
      </w:r>
    </w:p>
    <w:p>
      <w:pPr>
        <w:pStyle w:val="aff3"/>
        <w:spacing w:line="259" w:lineRule="auto"/>
      </w:pPr>
      <w:r>
        <w:rPr>
          <w:rFonts w:ascii="KoPubWorld바탕체_Pro Light" w:hAnsi="KoPubWorld바탕체_Pro Light" w:eastAsia="KoPubWorld바탕체_Pro Light" w:cs="KoPubWorld바탕체_Pro Light"/>
          <w:sz w:val="16"/>
        </w:rPr>
        <w:t>먼저 금융회사 민원·내부구제 절차를 이용하고, 해결되지 않으면 금융감독원 민원·분쟁조정을 검토한다. 금융위·금감원의 검사·제재는 시장질서를 고치는 행정수단이고, 개인의 손해배상·계약효력에 대한 최종 판단은 조정 합의나 법원 절차가 필요할 수 있다. 청약철회권·위법계약해지권·자료열람권은 적용 상품과 기간·요건을 따져야 한다.</w:t>
      </w:r>
      <w:r>
        <w:rPr>
          <w:rFonts w:ascii="KoPubWorld바탕체_Pro Light" w:hAnsi="KoPubWorld바탕체_Pro Light" w:eastAsia="KoPubWorld바탕체_Pro Light" w:cs="KoPubWorld바탕체_Pro Light"/>
          <w:sz w:val="14"/>
          <w:vertAlign w:val="superscript"/>
        </w:rPr>
        <w:t>174</w:t>
      </w:r>
      <w:r>
        <w:rPr>
          <w:rFonts w:ascii="KoPubWorld바탕체_Pro Light" w:hAnsi="KoPubWorld바탕체_Pro Light" w:eastAsia="KoPubWorld바탕체_Pro Light" w:cs="KoPubWorld바탕체_Pro Light"/>
          <w:sz w:val="14"/>
          <w:vertAlign w:val="superscript"/>
        </w:rPr>
        <w:t>175</w:t>
      </w:r>
    </w:p>
    <w:p>
      <w:pPr>
        <w:spacing w:before="120" w:after="0"/>
      </w:pPr>
    </w:p>
    <w:p>
      <w:pPr>
        <w:pStyle w:val="aff4"/>
        <w:keepNext/>
        <w:jc w:val="left"/>
      </w:pPr>
      <w:r>
        <w:rPr>
          <w:rFonts w:ascii="Noto Sans CJK KR" w:hAnsi="Noto Sans CJK KR" w:eastAsia="Noto Sans CJK KR" w:cs="Noto Sans CJK KR"/>
          <w:b/>
          <w:sz w:val="20"/>
        </w:rPr>
        <w:t>주가조작·공시위반이 의심될 때</w:t>
      </w:r>
    </w:p>
    <w:p>
      <w:pPr>
        <w:pStyle w:val="aff3"/>
        <w:spacing w:line="259" w:lineRule="auto"/>
      </w:pPr>
      <w:r>
        <w:rPr>
          <w:rFonts w:ascii="KoPubWorld바탕체_Pro Light" w:hAnsi="KoPubWorld바탕체_Pro Light" w:eastAsia="KoPubWorld바탕체_Pro Light" w:cs="KoPubWorld바탕체_Pro Light"/>
          <w:sz w:val="16"/>
        </w:rPr>
        <w:t>한국거래소 시장감시·심리 → 금융위·증선위와 금감원의 조사 → 행정제재·수사기관 통보 → 형사재판의 층이 이어질 수 있다. 거래소의 조회공시 요구나 투자주의·거래정지는 예방적 시장조치이고 형사 유죄판결은 아니다.</w:t>
      </w:r>
      <w:r>
        <w:rPr>
          <w:rFonts w:ascii="KoPubWorld바탕체_Pro Light" w:hAnsi="KoPubWorld바탕체_Pro Light" w:eastAsia="KoPubWorld바탕체_Pro Light" w:cs="KoPubWorld바탕체_Pro Light"/>
          <w:sz w:val="14"/>
          <w:vertAlign w:val="superscript"/>
        </w:rPr>
        <w:t>231</w:t>
      </w:r>
    </w:p>
    <w:p>
      <w:pPr>
        <w:spacing w:before="120" w:after="0"/>
      </w:pPr>
    </w:p>
    <w:p>
      <w:pPr>
        <w:pStyle w:val="aff4"/>
        <w:keepNext/>
        <w:jc w:val="left"/>
      </w:pPr>
      <w:r>
        <w:rPr>
          <w:rFonts w:ascii="Noto Sans CJK KR" w:hAnsi="Noto Sans CJK KR" w:eastAsia="Noto Sans CJK KR" w:cs="Noto Sans CJK KR"/>
          <w:b/>
          <w:sz w:val="20"/>
        </w:rPr>
        <w:t>자금세탁 의심거래가 발견될 때</w:t>
      </w:r>
    </w:p>
    <w:p>
      <w:pPr>
        <w:pStyle w:val="aff3"/>
        <w:spacing w:line="259" w:lineRule="auto"/>
      </w:pPr>
      <w:r>
        <w:rPr>
          <w:rFonts w:ascii="KoPubWorld바탕체_Pro Light" w:hAnsi="KoPubWorld바탕체_Pro Light" w:eastAsia="KoPubWorld바탕체_Pro Light" w:cs="KoPubWorld바탕체_Pro Light"/>
          <w:sz w:val="16"/>
        </w:rPr>
        <w:t>금융회사 등의 고객확인·모니터링에서 의심이 포착되면 KoFIU에 비공개 STR을 제출한다. KoFIU는 여러 보고와 공공정보를 분석해 필요하면 법집행기관에 제공한다. 금융위·KoFIU와 위탁검사기관은 회사의 AML 체계를 감독하고, 수사기관과 법원이 범죄책임을 판단한다.</w:t>
      </w:r>
      <w:r>
        <w:rPr>
          <w:rFonts w:ascii="KoPubWorld바탕체_Pro Light" w:hAnsi="KoPubWorld바탕체_Pro Light" w:eastAsia="KoPubWorld바탕체_Pro Light" w:cs="KoPubWorld바탕체_Pro Light"/>
          <w:sz w:val="14"/>
          <w:vertAlign w:val="superscript"/>
        </w:rPr>
        <w:t>229</w:t>
      </w:r>
    </w:p>
    <w:p>
      <w:pPr>
        <w:spacing w:before="120" w:after="0"/>
      </w:pPr>
    </w:p>
    <w:p>
      <w:pPr>
        <w:pStyle w:val="aff4"/>
        <w:keepNext/>
        <w:jc w:val="left"/>
      </w:pPr>
      <w:r>
        <w:rPr>
          <w:rFonts w:ascii="Noto Sans CJK KR" w:hAnsi="Noto Sans CJK KR" w:eastAsia="Noto Sans CJK KR" w:cs="Noto Sans CJK KR"/>
          <w:b/>
          <w:sz w:val="20"/>
        </w:rPr>
        <w:t>사이버·클라우드 장애가 발생할 때</w:t>
      </w:r>
    </w:p>
    <w:p>
      <w:pPr>
        <w:pStyle w:val="aff3"/>
        <w:spacing w:line="259" w:lineRule="auto"/>
      </w:pPr>
      <w:r>
        <w:rPr>
          <w:rFonts w:ascii="KoPubWorld바탕체_Pro Light" w:hAnsi="KoPubWorld바탕체_Pro Light" w:eastAsia="KoPubWorld바탕체_Pro Light" w:cs="KoPubWorld바탕체_Pro Light"/>
          <w:sz w:val="16"/>
        </w:rPr>
        <w:t>금융회사가 우선 업무연속성과 고객보호 조치를 가동하고 사고를 보고한다. 금감원은 전자금융 검사와 사고원인·통제를 확인하고 금융위가 제도·제재를 담당한다. 한국은행은 지급결제시스템과 금융시장 파급을 본다. 개인정보 침해가 섞이면 개인정보보호위원회 등 다른 기관 권한도 추가된다. 외부 클라우드 장애라도 금융회사의 책임과 복구계획이 사라지지 않는다.</w:t>
      </w:r>
      <w:r>
        <w:rPr>
          <w:rFonts w:ascii="KoPubWorld바탕체_Pro Light" w:hAnsi="KoPubWorld바탕체_Pro Light" w:eastAsia="KoPubWorld바탕체_Pro Light" w:cs="KoPubWorld바탕체_Pro Light"/>
          <w:sz w:val="14"/>
          <w:vertAlign w:val="superscript"/>
        </w:rPr>
        <w:t>207</w:t>
      </w:r>
      <w:r>
        <w:rPr>
          <w:rFonts w:ascii="KoPubWorld바탕체_Pro Light" w:hAnsi="KoPubWorld바탕체_Pro Light" w:eastAsia="KoPubWorld바탕체_Pro Light" w:cs="KoPubWorld바탕체_Pro Light"/>
          <w:sz w:val="14"/>
          <w:vertAlign w:val="superscript"/>
        </w:rPr>
        <w:t>205</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다섯 가지 확인 질문</w:t>
      </w:r>
    </w:p>
    <w:p>
      <w:pPr>
        <w:spacing w:before="40" w:after="0"/>
      </w:pPr>
    </w:p>
    <w:p>
      <w:pPr>
        <w:pStyle w:val="a"/>
        <w:spacing w:after="40" w:line="254" w:lineRule="auto"/>
        <w:ind w:left="360" w:hanging="202"/>
      </w:pPr>
      <w:r>
        <w:rPr>
          <w:rFonts w:ascii="KoPubWorld바탕체_Pro Light" w:hAnsi="KoPubWorld바탕체_Pro Light" w:eastAsia="KoPubWorld바탕체_Pro Light" w:cs="KoPubWorld바탕체_Pro Light"/>
          <w:sz w:val="16"/>
        </w:rPr>
        <w:t>지금 필요한 것은 정책·법령, 인가·제재, 검사·민원, 유동성·결제, 예금보호·정리, 시장운영·감시, AML 분석 가운데 무엇인가.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해당 기관의 행동은 법률상 결정, 감독상 권고·지도, 시장운영자의 자율규제, 위기대응의 한시조치 중 무엇인가.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금융회사 단독 문제인가, 그룹·시장·결제·외환으로 번질 시스템 문제인가.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행정제재와 개인구제, 형사책임이 각각 어느 절차에 있는가.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보도자료의 계획을 이미 시행 중인 법률로 오인하지 않았는가.</w:t>
      </w:r>
    </w:p>
    <w:p>
      <w:pPr>
        <w:pStyle w:val="aff3"/>
        <w:spacing w:line="259" w:lineRule="auto"/>
      </w:pPr>
      <w:r>
        <w:rPr>
          <w:rFonts w:ascii="KoPubWorld바탕체_Pro Light" w:hAnsi="KoPubWorld바탕체_Pro Light" w:eastAsia="KoPubWorld바탕체_Pro Light" w:cs="KoPubWorld바탕체_Pro Light"/>
          <w:sz w:val="16"/>
        </w:rPr>
        <w:t>기관 지도를 외우는 가장 좋은 방법은 조직도를 세로로 보는 것이 아니라 사건을 가로로 따라가는 것이다. 한 사건에 여러 기관이 등장하는 것은 중복만이 아니라 서로 다른 손실과 공익을 담당하기 때문이다. 문제는 기관 수가 아니라 책임선·정보공유·최종 결정권이 위기 전에 분명한가에 있다.</w:t>
      </w:r>
    </w:p>
    <w:p>
      <w:r>
        <w:br w:type="page"/>
      </w:r>
    </w:p>
    <w:p>
      <w:pPr>
        <w:spacing w:before="360" w:after="0"/>
      </w:pPr>
    </w:p>
    <w:p>
      <w:pPr>
        <w:pStyle w:val="aff1"/>
        <w:jc w:val="center"/>
      </w:pPr>
      <w:r>
        <w:rPr>
          <w:rFonts w:ascii="KoPubWorld바탕체_Pro Bold" w:hAnsi="KoPubWorld바탕체_Pro Bold" w:eastAsia="KoPubWorld바탕체_Pro Bold" w:cs="KoPubWorld바탕체_Pro Bold"/>
          <w:b/>
          <w:sz w:val="28"/>
        </w:rPr>
        <w:t>부록 5. 핵심 개념 70</w:t>
      </w:r>
    </w:p>
    <w:p>
      <w:pPr>
        <w:spacing w:before="100" w:after="0"/>
      </w:pPr>
    </w:p>
    <w:p>
      <w:pPr>
        <w:pStyle w:val="aff3"/>
        <w:spacing w:line="259" w:lineRule="auto"/>
      </w:pPr>
      <w:r>
        <w:rPr>
          <w:rFonts w:ascii="KoPubWorld바탕체_Pro Light" w:hAnsi="KoPubWorld바탕체_Pro Light" w:eastAsia="KoPubWorld바탕체_Pro Light" w:cs="KoPubWorld바탕체_Pro Light"/>
          <w:sz w:val="16"/>
        </w:rPr>
        <w:t>금융규제 용어는 같은 한국어라도 법률·감독기준과 회사 내부문서에서 범위가 달라질 수 있다. 아래 정의는 책을 읽기 위한 지도이며 법률자문이나 산식 원문을 대신하지 않는다. 비율은 분자·분모, 연결·개별 기준과 적용대상을 반드시 원문에서 다시 확인해야 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자본·손실·가계여신</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바젤 기준의 자본과 유동성 규칙은 국제적으로 합의된 최소 틀이지만 국내법으로 이행될 때 직접 구속력을 가진다. 자본은 손실을 미리 흡수하고, 정리수단은 실패 뒤 손실부담 순서를 실행한다.</w:t>
      </w:r>
      <w:r>
        <w:rPr>
          <w:rFonts w:ascii="KoPubWorld바탕체_Pro Light" w:hAnsi="KoPubWorld바탕체_Pro Light" w:eastAsia="KoPubWorld바탕체_Pro Light" w:cs="KoPubWorld바탕체_Pro Light"/>
          <w:sz w:val="14"/>
          <w:vertAlign w:val="superscript"/>
        </w:rPr>
        <w:t>116</w:t>
      </w:r>
      <w:r>
        <w:rPr>
          <w:rFonts w:ascii="KoPubWorld바탕체_Pro Light" w:hAnsi="KoPubWorld바탕체_Pro Light" w:eastAsia="KoPubWorld바탕체_Pro Light" w:cs="KoPubWorld바탕체_Pro Light"/>
          <w:sz w:val="14"/>
          <w:vertAlign w:val="superscript"/>
        </w:rPr>
        <w:t>123</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자기자본 — 자산에서 부채를 뺀 잔여청구권을 바탕으로 손실을 흡수하는 재원이다. 회계상 자본과 규제자본은 공제항목·인정조건이 달라 같은 숫자가 아니다.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보통주자본 CET1 — 보통주와 이익잉여금 등 가장 먼저, 계속기업 상태에서 손실을 흡수할 수 있는 규제자본의 핵심층이다.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자본적정성비율 — 규제자본을 위험가중자산으로 나눈 비율의 총칭이다. 총자본·기본자본·CET1 비율과 각종 완충자본을 구별해야 한다.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위험가중자산 RWA — 자산·익스포저에 신용·시장·운영위험을 반영한 위험가중치를 적용해 산출한 규제상 분모다. 장부금액과 같지 않으며 모형·표준방법에 따라 달라질 수 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레버리지비율 — 위험가중치를 크게 쓰지 않는 총익스포저 대비 기본자본 비율이다. 낮은 위험가중치를 이용한 과도한 대차대조표 확대를 막는 보완장치다.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완충자본 — 법정 최소비율 위에 추가로 쌓아 충격 때 사용할 수 있게 한 자본층이다. 보전완충, 경기대응완충과 시스템적 중요도 추가자본 등이 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경기대응완충자본 CCyB — 신용이 과도하게 팽창할 때 추가 자본을 쌓고 위기 때 낮춰 대출급감을 완화하려는 거시건전성 수단이다.</w:t>
      </w:r>
      <w:r>
        <w:rPr>
          <w:rFonts w:ascii="KoPubWorld바탕체_Pro Light" w:hAnsi="KoPubWorld바탕체_Pro Light" w:eastAsia="KoPubWorld바탕체_Pro Light" w:cs="KoPubWorld바탕체_Pro Light"/>
          <w:sz w:val="14"/>
          <w:vertAlign w:val="superscript"/>
        </w:rPr>
        <w:t>121</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G-SIB·D-SIB — 실패가 각각 세계 또는 국내 금융시스템에 큰 영향을 줄 수 있는 시스템적 중요은행이다. 더 높은 자본·감독, 정리계획과 손실흡수 요구가 붙을 수 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총손실흡수력 TLAC — 글로벌 시스템적 중요은행이 정리될 때 손실을 흡수하고 핵심기능을 재자본화할 수 있도록 미리 확보하는 자본·적격채무 기준이다.</w:t>
      </w:r>
      <w:r>
        <w:rPr>
          <w:rFonts w:ascii="KoPubWorld바탕체_Pro Light" w:hAnsi="KoPubWorld바탕체_Pro Light" w:eastAsia="KoPubWorld바탕체_Pro Light" w:cs="KoPubWorld바탕체_Pro Light"/>
          <w:sz w:val="14"/>
          <w:vertAlign w:val="superscript"/>
        </w:rPr>
        <w:t>123</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베일인 bail-in — 정리당국이 법정 우선순위에 따라 주식·적격채무를 상각하거나 주식으로 전환해 내부 채권자에게 손실과 재자본화를 부담시키는 수단이다.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베일아웃 bail-out — 정부·공공기관이 자본, 보증이나 자금을 투입해 실패비용을 외부 공적재원으로 떠받치는 조치다. 대출·보증·출자의 위험과 회수조건은 서로 다르다.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충당금 provisioning — 예상되거나 발생한 대손을 비용으로 인식하고 자산가치를 낮춰 손실을 준비하는 회계·건전성 장치다. 자본과 목적은 다르지만 손실인식 시점에 영향을 준다.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주택담보인정비율 LTV — 담보주택 가치 대비 대출금액 비율이다. 담보가격 하락에 대한 완충과 주택신용 총량을 조절하지만 차주의 소득상환능력을 직접 보여 주지는 않는다.</w:t>
      </w:r>
      <w:r>
        <w:rPr>
          <w:rFonts w:ascii="KoPubWorld바탕체_Pro Light" w:hAnsi="KoPubWorld바탕체_Pro Light" w:eastAsia="KoPubWorld바탕체_Pro Light" w:cs="KoPubWorld바탕체_Pro Light"/>
          <w:sz w:val="14"/>
          <w:vertAlign w:val="superscript"/>
        </w:rPr>
        <w:t>171</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총부채상환비율 DTI — 연소득 대비 주택담보대출 원리금과 일정한 기타 부채 이자상환액 등의 비율이다. 구체 산식과 적용대상은 시기별 제도를 확인해야 한다.</w:t>
      </w:r>
      <w:r>
        <w:rPr>
          <w:rFonts w:ascii="KoPubWorld바탕체_Pro Light" w:hAnsi="KoPubWorld바탕체_Pro Light" w:eastAsia="KoPubWorld바탕체_Pro Light" w:cs="KoPubWorld바탕체_Pro Light"/>
          <w:sz w:val="14"/>
          <w:vertAlign w:val="superscript"/>
        </w:rPr>
        <w:t>171</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총부채원리금상환비율 DSR — 차주의 연소득 대비 모든 가계대출 원리금 상환액 비율이다. 담보보다 차주의 전체 상환부담을 보지만 소득·만기 산정규칙에 따라 결과가 달라진다.</w:t>
      </w:r>
      <w:r>
        <w:rPr>
          <w:rFonts w:ascii="KoPubWorld바탕체_Pro Light" w:hAnsi="KoPubWorld바탕체_Pro Light" w:eastAsia="KoPubWorld바탕체_Pro Light" w:cs="KoPubWorld바탕체_Pro Light"/>
          <w:sz w:val="14"/>
          <w:vertAlign w:val="superscript"/>
        </w:rPr>
        <w:t>173</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유동성·시장·결제</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자본이 장기 손실흡수력이라면 유동성은 오늘 지급할 능력이다. 지급능력이 있는 기관도 현금화를 못 하면 무너질 수 있고, 중앙청산·담보제도는 위험을 없애기보다 모아 관리한다.</w:t>
      </w:r>
      <w:r>
        <w:rPr>
          <w:rFonts w:ascii="KoPubWorld바탕체_Pro Light" w:hAnsi="KoPubWorld바탕체_Pro Light" w:eastAsia="KoPubWorld바탕체_Pro Light" w:cs="KoPubWorld바탕체_Pro Light"/>
          <w:sz w:val="14"/>
          <w:vertAlign w:val="superscript"/>
        </w:rPr>
        <w:t>117</w:t>
      </w:r>
      <w:r>
        <w:rPr>
          <w:rFonts w:ascii="KoPubWorld바탕체_Pro Light" w:hAnsi="KoPubWorld바탕체_Pro Light" w:eastAsia="KoPubWorld바탕체_Pro Light" w:cs="KoPubWorld바탕체_Pro Light"/>
          <w:sz w:val="14"/>
          <w:vertAlign w:val="superscript"/>
        </w:rPr>
        <w:t>224</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유동성 — 자산을 큰 가격손실 없이 현금화하거나 만기채무를 제때 지급할 능력이다. ‘유동자산이 많다’와 ‘시장 전체가 스트레스 때 팔 수 있다’는 다른 말이다.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유동성커버리지비율 LCR — 30일의 심각한 유동성 스트레스에서 예상 순현금유출을 감당할 고유동성자산을 보유하게 하는 바젤 지표다.</w:t>
      </w:r>
      <w:r>
        <w:rPr>
          <w:rFonts w:ascii="KoPubWorld바탕체_Pro Light" w:hAnsi="KoPubWorld바탕체_Pro Light" w:eastAsia="KoPubWorld바탕체_Pro Light" w:cs="KoPubWorld바탕체_Pro Light"/>
          <w:sz w:val="14"/>
          <w:vertAlign w:val="superscript"/>
        </w:rPr>
        <w:t>117</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순안정자금조달비율 NSFR — 1년 시계에서 자산·부외항목이 요구하는 안정적 조달보다 가용 안정조달을 충분히 확보하게 하는 구조적 유동성 지표다.</w:t>
      </w:r>
      <w:r>
        <w:rPr>
          <w:rFonts w:ascii="KoPubWorld바탕체_Pro Light" w:hAnsi="KoPubWorld바탕체_Pro Light" w:eastAsia="KoPubWorld바탕체_Pro Light" w:cs="KoPubWorld바탕체_Pro Light"/>
          <w:sz w:val="14"/>
          <w:vertAlign w:val="superscript"/>
        </w:rPr>
        <w:t>118</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은행런 — 예금자·단기채권자가 다른 사람보다 먼저 돈을 회수하려 동시에 인출하는 현상이다. 실제 부실뿐 아니라 정보부족과 조정실패가 건전한 자산의 급매를 부를 수 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최종대부자 — 평시 시장자금이 끊긴 위기에서 중앙은행 등이 적격기관에 유동성을 공급하는 기능이다. 모든 부실기관을 무조건 구제한다는 뜻은 아니다.</w:t>
      </w:r>
      <w:r>
        <w:rPr>
          <w:rFonts w:ascii="KoPubWorld바탕체_Pro Light" w:hAnsi="KoPubWorld바탕체_Pro Light" w:eastAsia="KoPubWorld바탕체_Pro Light" w:cs="KoPubWorld바탕체_Pro Light"/>
          <w:sz w:val="14"/>
          <w:vertAlign w:val="superscript"/>
        </w:rPr>
        <w:t>34</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담보 collateral — 채무불이행 때 채권자가 우선 회수할 수 있도록 제공된 자산·권리다. 담보의 적격성, 가치평가, 보관과 집행가능성이 유동성 지원의 위험을 좌우한다.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헤어컷 haircut — 담보의 시장가치에서 일정 비율을 차감해 대출가능액을 정하는 완충이다. 변동성·유동성이 낮을수록 보통 더 큰 차감이 요구된다.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마진콜 — 파생상품·담보거래의 노출이 커지거나 담보가치가 떨어질 때 추가 현금·증권을 내라는 요구다. 개별 위험을 줄이지만 동시 요구는 시장 급매를 증폭할 수 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만기변환 — 단기예금·차입으로 장기대출·투자를 하는 금융중개의 핵심 기능이다. 이자마진과 신용을 만들지만 차환이 막히면 런에 취약하다.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유동성 불일치 — 부채·환매는 빨리 나가는데 자산은 늦게 회수되거나 큰 손실 없이 팔기 어려운 상태다. 은행뿐 아니라 개방형 펀드·스테이블코인에도 나타난다.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결제위험 — 거래는 성립했지만 현금·증권·외환의 최종 이전이 완료되지 않아 원금·대체비용 손실이 생길 위험이다. 신용·유동성·운영·법률 위험이 결제 단계에서 만난다.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중앙청산기관 CCP — 거래 당사자 사이에 들어가 매도자에게는 매수자, 매수자에게는 매도자가 되어 다자간 상계와 증거금·공동기금으로 위험을 관리한다.</w:t>
      </w:r>
      <w:r>
        <w:rPr>
          <w:rFonts w:ascii="KoPubWorld바탕체_Pro Light" w:hAnsi="KoPubWorld바탕체_Pro Light" w:eastAsia="KoPubWorld바탕체_Pro Light" w:cs="KoPubWorld바탕체_Pro Light"/>
          <w:sz w:val="14"/>
          <w:vertAlign w:val="superscript"/>
        </w:rPr>
        <w:t>224</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증권대금동시결제 DvP·외환동시결제 PvP — 한쪽 자산이 이전될 때 다른 쪽도 조건부로 함께 이전되게 해 ‘주고 못 받는’ 원금위험을 줄이는 결제원칙이다.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시스템리스크 — 한 기관·시장·인프라의 문제가 상호연결, 공통자산 급매나 신뢰상실을 통해 금융시스템의 핵심기능을 훼손할 위험이다. 단순히 큰 손실의 다른 이름은 아니다.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규제·감독·정리</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규제는 사전에 적용할 일반규칙을 만들고 감독은 개별 기관이 그 규칙과 위험한도를 실제로 지키는지 판단·개입한다. 국제 핵심원칙은 명확한 권한, 독립성·책임성, 조기개입과 충분한 자원을 함께 요구한다.</w:t>
      </w:r>
      <w:r>
        <w:rPr>
          <w:rFonts w:ascii="KoPubWorld바탕체_Pro Light" w:hAnsi="KoPubWorld바탕체_Pro Light" w:eastAsia="KoPubWorld바탕체_Pro Light" w:cs="KoPubWorld바탕체_Pro Light"/>
          <w:sz w:val="14"/>
          <w:vertAlign w:val="superscript"/>
        </w:rPr>
        <w:t>220</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미시건전성 규제 — 개별 금융회사의 안전성과 예금자·계약자 보호를 중심으로 자본, 유동성, 지배구조와 위험관리를 요구하는 접근이다.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거시건전성 정책 — 금융시스템 전체의 공통노출·상호연결과 신용주기를 보고 시스템위험의 축적·증폭을 줄이는 정책이다.</w:t>
      </w:r>
      <w:r>
        <w:rPr>
          <w:rFonts w:ascii="KoPubWorld바탕체_Pro Light" w:hAnsi="KoPubWorld바탕체_Pro Light" w:eastAsia="KoPubWorld바탕체_Pro Light" w:cs="KoPubWorld바탕체_Pro Light"/>
          <w:sz w:val="14"/>
          <w:vertAlign w:val="superscript"/>
        </w:rPr>
        <w:t>120</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규제 regulation — 법률·하위규정·인가조건으로 시장참가자의 진입, 자본, 업무, 공시와 행위에 일반적 의무·금지를 설정하는 활동이다.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감독 supervision — 보고·면담·검사와 위험평가를 통해 개별 기관의 상태를 판단하고 개선, 자본확충·업무제한이나 제재를 요구하는 지속적 활동이다.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인가·진입규제 — 금융업을 시작할 주체의 자본, 소유·지배구조, 전문성, 사업계획과 시스템을 사전에 심사하는 문턱이다. 인가·등록·신고수리는 법적 강도가 다르다.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연결감독 — 개별 법인만이 아니라 금융그룹의 자회사·해외법인·부외거래를 합쳐 자본, 집중위험과 내부거래를 보는 감독이다.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감독칼리지 — 국경간 금융그룹을 담당하는 모국·진출국 감독자가 정보를 교환하고 위험평가·감독계획을 조정하는 협의체다. 하나의 초국가 감독청은 아니다.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스트레스테스트 — 불리한 거시·시장 시나리오에서 손실, 자본·유동성 변화를 추정해 취약성과 대응능력을 평가하는 도구다. 예측값이 아니라 조건부 시험이다.</w:t>
      </w:r>
      <w:r>
        <w:rPr>
          <w:rFonts w:ascii="KoPubWorld바탕체_Pro Light" w:hAnsi="KoPubWorld바탕체_Pro Light" w:eastAsia="KoPubWorld바탕체_Pro Light" w:cs="KoPubWorld바탕체_Pro Light"/>
          <w:sz w:val="14"/>
          <w:vertAlign w:val="superscript"/>
        </w:rPr>
        <w:t>108</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회복계획 recovery plan — 심각한 스트레스에서도 금융회사가 자체 수단으로 자본·유동성을 회복하고 핵심기능을 유지하는 선택지와 실행조건을 미리 정한 계획이다.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정리계획 resolution plan — 회복이 실패했을 때 당국이 핵심기능을 유지하면서 매각, 이전, 베일인·청산 등으로 회사를 처리할 전략과 정보체계를 미리 설계한 계획이다.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정리가능성 resolvability — 실제 위기에서 납세자에 중대한 손실을 전가하거나 시스템 기능을 끊지 않고 정리전략을 집행할 수 있는 조직·계약·정보·자금 구조의 성질이다.</w:t>
      </w:r>
      <w:r>
        <w:rPr>
          <w:rFonts w:ascii="KoPubWorld바탕체_Pro Light" w:hAnsi="KoPubWorld바탕체_Pro Light" w:eastAsia="KoPubWorld바탕체_Pro Light" w:cs="KoPubWorld바탕체_Pro Light"/>
          <w:sz w:val="14"/>
          <w:vertAlign w:val="superscript"/>
        </w:rPr>
        <w:t>122</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예금보험 — 보험료로 조성한 기금 등이 보험사고 때 일정한도 내 보호예금을 지급하고 실패은행 정리를 지원하는 안전망이다. 투자손실이나 모든 금융상품을 보증하지 않는다.</w:t>
      </w:r>
      <w:r>
        <w:rPr>
          <w:rFonts w:ascii="KoPubWorld바탕체_Pro Light" w:hAnsi="KoPubWorld바탕체_Pro Light" w:eastAsia="KoPubWorld바탕체_Pro Light" w:cs="KoPubWorld바탕체_Pro Light"/>
          <w:sz w:val="14"/>
          <w:vertAlign w:val="superscript"/>
        </w:rPr>
        <w:t>165</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도덕적 해이 — 손실의 일부를 다른 주체가 부담할 것으로 예상해 평시 위험선택이 더 공격적으로 바뀌는 문제다. 안전망에는 가격·감독·손실부담 조건이 함께 필요하다.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공시 disclosure — 발행인·금융회사가 재무·위험·지배구조와 상품정보를 정해진 형식·시점에 공개하게 하는 규율이다. 정보량보다 비교가능성·이해가능성·책임이 중요하다.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비은행금융중개 NBFI·그림자금융 — 은행 밖에서 신용·만기·유동성 변환과 레버리지를 제공하는 시장·기관·활동을 가리킨다. 모두 불법이거나 감독 밖이라는 뜻은 아니다.</w:t>
      </w:r>
      <w:r>
        <w:rPr>
          <w:rFonts w:ascii="KoPubWorld바탕체_Pro Light" w:hAnsi="KoPubWorld바탕체_Pro Light" w:eastAsia="KoPubWorld바탕체_Pro Light" w:cs="KoPubWorld바탕체_Pro Light"/>
          <w:sz w:val="14"/>
          <w:vertAlign w:val="superscript"/>
        </w:rPr>
        <w:t>97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소비자보호·시장무결성·자금세탁방지</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금융소비자보호법의 판매원칙은 상품·판매유형에 따라 적용범위가 달라질 수 있다. AML/CFT는 고객을 일률적으로 배제하기보다 위험을 확인하고 비례해 관리하는 체계이며, FATF 권고도 저위험 영역의 간소화조치를 강조한다.</w:t>
      </w:r>
      <w:r>
        <w:rPr>
          <w:rFonts w:ascii="KoPubWorld바탕체_Pro Light" w:hAnsi="KoPubWorld바탕체_Pro Light" w:eastAsia="KoPubWorld바탕체_Pro Light" w:cs="KoPubWorld바탕체_Pro Light"/>
          <w:sz w:val="14"/>
          <w:vertAlign w:val="superscript"/>
        </w:rPr>
        <w:t>175</w:t>
      </w:r>
      <w:r>
        <w:rPr>
          <w:rFonts w:ascii="KoPubWorld바탕체_Pro Light" w:hAnsi="KoPubWorld바탕체_Pro Light" w:eastAsia="KoPubWorld바탕체_Pro Light" w:cs="KoPubWorld바탕체_Pro Light"/>
          <w:sz w:val="14"/>
          <w:vertAlign w:val="superscript"/>
        </w:rPr>
        <w:t>221</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적합성 원칙 — 판매자가 소비자의 재산상황, 경험과 목적 등을 파악해 부적합한 상품을 권유하지 않도록 하는 원칙이다.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적정성 원칙 — 소비자가 권유 없이 특정 상품을 거래하려 할 때 그 상품이 소비자 정보에 비춰 적정하지 않으면 이를 알리도록 하는 원칙이다.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설명의무 — 상품의 중요내용과 위험을 소비자가 이해할 수 있게 설명하고 확인할 의무다. 서명 한 줄이나 방대한 약관 제공만으로 항상 충족되는 것은 아니다.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불공정영업행위 금지 — 우월적 지위를 이용한 강요, 부당한 담보·연대보증 요구 등 금융회사의 불공정한 판매·계약행위를 금지하는 규율이다.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청약철회권 — 일정 상품·기간·요건 아래 소비자가 이유를 제시하지 않고 청약을 철회할 수 있는 권리다. 모든 상품과 거래에 무제한 적용되지 않는다.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위법계약해지권 — 법이 정한 판매규제를 위반한 계약에 대해 소비자가 일정 기간·요건 아래 장래를 향해 해지를 요구할 수 있는 권리다.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신용평가·신용점수 — 과거 상환, 부채·소득 등 정보로 미래의 채무이행 가능성을 추정하는 분류다. 예측값과 실제 승인·금리 결정을 만드는 정책문턱은 구별해야 한다.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자동화평가·자동화된 결정 — 사람의 실질적 개입 없이 데이터와 알고리즘으로 평가·결정을 만드는 과정이다. 한국 법은 설명, 기초정보 정정·삭제와 재산정 요구 등의 권리를 둔다.</w:t>
      </w:r>
      <w:r>
        <w:rPr>
          <w:rFonts w:ascii="KoPubWorld바탕체_Pro Light" w:hAnsi="KoPubWorld바탕체_Pro Light" w:eastAsia="KoPubWorld바탕체_Pro Light" w:cs="KoPubWorld바탕체_Pro Light"/>
          <w:sz w:val="14"/>
          <w:vertAlign w:val="superscript"/>
        </w:rPr>
        <w:t>186</w:t>
      </w:r>
      <w:r>
        <w:rPr>
          <w:rFonts w:ascii="KoPubWorld바탕체_Pro Light" w:hAnsi="KoPubWorld바탕체_Pro Light" w:eastAsia="KoPubWorld바탕체_Pro Light" w:cs="KoPubWorld바탕체_Pro Light"/>
          <w:sz w:val="14"/>
          <w:vertAlign w:val="superscript"/>
        </w:rPr>
        <w:t>212</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이해상충 — 금융회사·임직원·고객 또는 고객 상호의 이익이 충돌해 한쪽의 판단이 왜곡될 위험이다. 분리, 공시, 동의와 거래금지 등으로 관리한다.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시장남용 — 미공개중요정보 이용, 시세조종, 사기적 거래처럼 가격형성과 시장신뢰를 훼손하는 행위의 묶음이다. 가상자산 이용자보호법과 MiCA도 시장무결성 규율을 둔다.</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4"/>
          <w:vertAlign w:val="superscript"/>
        </w:rPr>
        <w:t>195</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AML/CFT — 자금세탁방지와 테러자금조달금지의 합성어다. 위험평가, 고객확인, 거래모니터링·보고, 기록보존과 제재를 결합한다.</w:t>
      </w:r>
      <w:r>
        <w:rPr>
          <w:rFonts w:ascii="KoPubWorld바탕체_Pro Light" w:hAnsi="KoPubWorld바탕체_Pro Light" w:eastAsia="KoPubWorld바탕체_Pro Light" w:cs="KoPubWorld바탕체_Pro Light"/>
          <w:sz w:val="14"/>
          <w:vertAlign w:val="superscript"/>
        </w:rPr>
        <w:t>221</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고객확인 CDD·KYC — 고객 신원과 실제소유자, 거래목적·자금원천 등을 위험에 맞게 확인·검증하고 거래관계를 지속적으로 살피는 절차다.</w:t>
      </w:r>
      <w:r>
        <w:rPr>
          <w:rFonts w:ascii="KoPubWorld바탕체_Pro Light" w:hAnsi="KoPubWorld바탕체_Pro Light" w:eastAsia="KoPubWorld바탕체_Pro Light" w:cs="KoPubWorld바탕체_Pro Light"/>
          <w:sz w:val="14"/>
          <w:vertAlign w:val="superscript"/>
        </w:rPr>
        <w:t>230</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의심거래보고 STR — 거래재산의 불법성이나 자금세탁에 합리적 의심이 있을 때 금융회사 등이 금융정보분석원에 비공개로 보고하는 제도다. 유죄판정은 아니다.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실제소유자 beneficial owner — 법적 명의 뒤에서 고객·법인이나 거래를 최종적으로 소유·지배하는 자연인을 말한다. 복잡한 법인·신탁구조의 투명성에 핵심이다.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가상자산·디지털화폐·운영·AI</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디지털 용어는 기술적 이름과 법률상 분류가 일치하지 않을 수 있다. 특히 ART·EMT는 EU MiCA의 범주이고, 한국의 고영향 AI와 EU의 고위험 AI는 적용요건과 의무가 서로 다르다.</w:t>
      </w:r>
      <w:r>
        <w:rPr>
          <w:rFonts w:ascii="KoPubWorld바탕체_Pro Light" w:hAnsi="KoPubWorld바탕체_Pro Light" w:eastAsia="KoPubWorld바탕체_Pro Light" w:cs="KoPubWorld바탕체_Pro Light"/>
          <w:sz w:val="14"/>
          <w:vertAlign w:val="superscript"/>
        </w:rPr>
        <w:t>195</w:t>
      </w:r>
      <w:r>
        <w:rPr>
          <w:rFonts w:ascii="KoPubWorld바탕체_Pro Light" w:hAnsi="KoPubWorld바탕체_Pro Light" w:eastAsia="KoPubWorld바탕체_Pro Light" w:cs="KoPubWorld바탕체_Pro Light"/>
          <w:sz w:val="14"/>
          <w:vertAlign w:val="superscript"/>
        </w:rPr>
        <w:t>214</w:t>
      </w:r>
      <w:r>
        <w:rPr>
          <w:rFonts w:ascii="KoPubWorld바탕체_Pro Light" w:hAnsi="KoPubWorld바탕체_Pro Light" w:eastAsia="KoPubWorld바탕체_Pro Light" w:cs="KoPubWorld바탕체_Pro Light"/>
          <w:sz w:val="14"/>
          <w:vertAlign w:val="superscript"/>
        </w:rPr>
        <w:t>215</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가상자산·암호자산 — 분산원장 등을 통해 전자적으로 이전·저장될 수 있는 가치·권리의 디지털 표현을 가리킨다. 법률마다 제외되는 전자화폐·증권·게임재화 등이 다르다.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VASP·CASP — VASP는 FATF와 한국 특정금융정보법의 가상자산사업자, CASP는 MiCA의 암호자산서비스제공자다. 신고·인가와 허용업무가 같은 제도는 아니다.</w:t>
      </w:r>
      <w:r>
        <w:rPr>
          <w:rFonts w:ascii="KoPubWorld바탕체_Pro Light" w:hAnsi="KoPubWorld바탕체_Pro Light" w:eastAsia="KoPubWorld바탕체_Pro Light" w:cs="KoPubWorld바탕체_Pro Light"/>
          <w:sz w:val="14"/>
          <w:vertAlign w:val="superscript"/>
        </w:rPr>
        <w:t>190</w:t>
      </w:r>
      <w:r>
        <w:rPr>
          <w:rFonts w:ascii="KoPubWorld바탕체_Pro Light" w:hAnsi="KoPubWorld바탕체_Pro Light" w:eastAsia="KoPubWorld바탕체_Pro Light" w:cs="KoPubWorld바탕체_Pro Light"/>
          <w:sz w:val="14"/>
          <w:vertAlign w:val="superscript"/>
        </w:rPr>
        <w:t>195</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스테이블코인 — 특정 법정화폐·자산 또는 가치에 연동해 가격안정을 추구하는 토큰의 통칭이다. 준비자산, 상환권, 알고리즘과 발행자 구조에 따라 위험이 크게 다르다.</w:t>
      </w:r>
      <w:r>
        <w:rPr>
          <w:rFonts w:ascii="KoPubWorld바탕체_Pro Light" w:hAnsi="KoPubWorld바탕체_Pro Light" w:eastAsia="KoPubWorld바탕체_Pro Light" w:cs="KoPubWorld바탕체_Pro Light"/>
          <w:sz w:val="14"/>
          <w:vertAlign w:val="superscript"/>
        </w:rPr>
        <w:t>198</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자산준거토큰 ART — MiCA에서 여러 법정화폐·상품·암호자산 또는 그 조합 등 다른 가치·권리를 참조해 안정가치를 유지하려는 암호자산 범주다.</w:t>
      </w:r>
      <w:r>
        <w:rPr>
          <w:rFonts w:ascii="KoPubWorld바탕체_Pro Light" w:hAnsi="KoPubWorld바탕체_Pro Light" w:eastAsia="KoPubWorld바탕체_Pro Light" w:cs="KoPubWorld바탕체_Pro Light"/>
          <w:sz w:val="14"/>
          <w:vertAlign w:val="superscript"/>
        </w:rPr>
        <w:t>195</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전자화폐토큰 EMT — MiCA에서 하나의 공식통화 가치를 참조해 안정가치를 유지하려는 암호자산이다. 전자화폐 규율과 발행·상환 의무가 결합된다.</w:t>
      </w:r>
      <w:r>
        <w:rPr>
          <w:rFonts w:ascii="KoPubWorld바탕체_Pro Light" w:hAnsi="KoPubWorld바탕체_Pro Light" w:eastAsia="KoPubWorld바탕체_Pro Light" w:cs="KoPubWorld바탕체_Pro Light"/>
          <w:sz w:val="14"/>
          <w:vertAlign w:val="superscript"/>
        </w:rPr>
        <w:t>195</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중앙은행디지털화폐 CBDC — 중앙은행의 직접 부채인 디지털 형태의 중앙은행화폐다. 일반이용자용과 금융기관 간 기관용을 구별하며, 한국은 도입 여부·시기를 결정하지 않았다.</w:t>
      </w:r>
      <w:r>
        <w:rPr>
          <w:rFonts w:ascii="KoPubWorld바탕체_Pro Light" w:hAnsi="KoPubWorld바탕체_Pro Light" w:eastAsia="KoPubWorld바탕체_Pro Light" w:cs="KoPubWorld바탕체_Pro Light"/>
          <w:sz w:val="14"/>
          <w:vertAlign w:val="superscript"/>
        </w:rPr>
        <w:t>199</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토큰화예금 — 상업은행 예금청구권을 분산원장 등에서 이전·프로그래밍할 수 있게 표현한 것이다. 중앙은행 부채가 아니며 은행예금의 법적·건전성 틀과 연결된다.</w:t>
      </w:r>
      <w:r>
        <w:rPr>
          <w:rFonts w:ascii="KoPubWorld바탕체_Pro Light" w:hAnsi="KoPubWorld바탕체_Pro Light" w:eastAsia="KoPubWorld바탕체_Pro Light" w:cs="KoPubWorld바탕체_Pro Light"/>
          <w:sz w:val="14"/>
          <w:vertAlign w:val="superscript"/>
        </w:rPr>
        <w:t>200</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스마트계약 — 미리 정한 조건이 충족되면 분산원장 등에서 자동 실행되는 코드·프로토콜이다. 코드 실행이 항상 법적 계약의 성립·유효·최종성을 보장하지 않는다.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운영복원력 — 장애·공격·재해가 생겨도 중요업무를 허용한도 안에서 제공하고 적응·회복하는 능력이다. 사고예방뿐 아니라 영향허용도와 복구시험을 포함한다.</w:t>
      </w:r>
      <w:r>
        <w:rPr>
          <w:rFonts w:ascii="KoPubWorld바탕체_Pro Light" w:hAnsi="KoPubWorld바탕체_Pro Light" w:eastAsia="KoPubWorld바탕체_Pro Light" w:cs="KoPubWorld바탕체_Pro Light"/>
          <w:sz w:val="14"/>
          <w:vertAlign w:val="superscript"/>
        </w:rPr>
        <w:t>205</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제3자·클라우드 집중위험 — 여러 금융회사가 같은 외부 서비스·클라우드 지역에 의존해 한 장애가 동시에 번질 위험이다. 아웃소싱해도 금융회사의 책임과 종료·이전 능력은 남는다.</w:t>
      </w:r>
      <w:r>
        <w:rPr>
          <w:rFonts w:ascii="KoPubWorld바탕체_Pro Light" w:hAnsi="KoPubWorld바탕체_Pro Light" w:eastAsia="KoPubWorld바탕체_Pro Light" w:cs="KoPubWorld바탕체_Pro Light"/>
          <w:sz w:val="14"/>
          <w:vertAlign w:val="superscript"/>
        </w:rPr>
        <w:t>208</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모델위험 — 잘못된 설계·데이터·가정, 부적절한 사용, 환경변화나 운영통제로 모델 결과가 틀리거나 오용될 위험이다. 높은 평균 정확도만으로 통제되지 않는다.</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고영향 AI·고위험 AI — 한국 인공지능기본법의 ‘고영향’과 EU AI법의 ‘고위험’은 대출심사 등 중대한 영역을 다루지만 분류·예외·의무가 다른 법적 개념이다. 번역이 비슷하다고 같은 제도로 취급하면 안 된다.</w:t>
      </w:r>
      <w:r>
        <w:rPr>
          <w:rFonts w:ascii="KoPubWorld바탕체_Pro Light" w:hAnsi="KoPubWorld바탕체_Pro Light" w:eastAsia="KoPubWorld바탕체_Pro Light" w:cs="KoPubWorld바탕체_Pro Light"/>
          <w:sz w:val="14"/>
          <w:vertAlign w:val="superscript"/>
        </w:rPr>
        <w:t>214</w:t>
      </w:r>
      <w:r>
        <w:rPr>
          <w:rFonts w:ascii="KoPubWorld바탕체_Pro Light" w:hAnsi="KoPubWorld바탕체_Pro Light" w:eastAsia="KoPubWorld바탕체_Pro Light" w:cs="KoPubWorld바탕체_Pro Light"/>
          <w:sz w:val="14"/>
          <w:vertAlign w:val="superscript"/>
        </w:rPr>
        <w:t>215</w:t>
      </w:r>
    </w:p>
    <w:p>
      <w:pPr>
        <w:pStyle w:val="aff3"/>
        <w:spacing w:line="259" w:lineRule="auto"/>
      </w:pPr>
      <w:r>
        <w:rPr>
          <w:rFonts w:ascii="KoPubWorld바탕체_Pro Light" w:hAnsi="KoPubWorld바탕체_Pro Light" w:eastAsia="KoPubWorld바탕체_Pro Light" w:cs="KoPubWorld바탕체_Pro Light"/>
          <w:sz w:val="16"/>
        </w:rPr>
        <w:t>용어를 만났을 때는 정의만 외우지 말고 세 질문을 덧붙인다. 누가 계산하는가, 스트레스 때 누가 현금을 내는가, 실패하면 누가 먼저 손실을 지는가. 금융규제의 개념은 결국 책임과 시간의 배분을 설명하는 언어다.</w:t>
      </w:r>
    </w:p>
    <w:p>
      <w:r>
        <w:br w:type="page"/>
      </w:r>
    </w:p>
    <w:p>
      <w:pPr>
        <w:spacing w:before="360" w:after="0"/>
      </w:pPr>
    </w:p>
    <w:p>
      <w:pPr>
        <w:pStyle w:val="aff1"/>
        <w:jc w:val="center"/>
      </w:pPr>
      <w:r>
        <w:rPr>
          <w:rFonts w:ascii="KoPubWorld바탕체_Pro Bold" w:hAnsi="KoPubWorld바탕체_Pro Bold" w:eastAsia="KoPubWorld바탕체_Pro Bold" w:cs="KoPubWorld바탕체_Pro Bold"/>
          <w:b/>
          <w:sz w:val="28"/>
        </w:rPr>
        <w:t>부록 6. 금융규제사의 100개 순간</w:t>
      </w:r>
    </w:p>
    <w:p>
      <w:pPr>
        <w:spacing w:before="100" w:after="0"/>
      </w:pPr>
    </w:p>
    <w:p>
      <w:pPr>
        <w:pStyle w:val="aff3"/>
        <w:spacing w:line="259" w:lineRule="auto"/>
      </w:pPr>
      <w:r>
        <w:rPr>
          <w:rFonts w:ascii="KoPubWorld바탕체_Pro Light" w:hAnsi="KoPubWorld바탕체_Pro Light" w:eastAsia="KoPubWorld바탕체_Pro Light" w:cs="KoPubWorld바탕체_Pro Light"/>
          <w:sz w:val="16"/>
        </w:rPr>
        <w:t>‘순간’은 모든 원인의 시작점이 아니다. 법률이 공포된 날, 시장이 멈춘 날, 보고서가 새로운 개념을 붙인 날 가운데 이후의 규칙과 책임선을 바꾼 장면을 골랐다. 서로 이어 읽으면 금융규제가 금지에서 인가·공시로, 개별기관 안전에서 시스템 회복력으로, 은행의 장부에서 데이터·클라우드·알고리즘의 경계로 이동한 흐름이 보인다.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빚에서 글로벌 금융헌법까지 — 001-035</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001 | 기원전 2100년경 이후 — 점토판 장부가 채무액·이자·담보·증인을 남기며 신용을 법정에서 입증할 수 있는 약속으로 만들었다.</w:t>
      </w:r>
      <w:r>
        <w:rPr>
          <w:rFonts w:ascii="KoPubWorld바탕체_Pro Light" w:hAnsi="KoPubWorld바탕체_Pro Light" w:eastAsia="KoPubWorld바탕체_Pro Light" w:cs="KoPubWorld바탕체_Pro Light"/>
          <w:sz w:val="14"/>
          <w:vertAlign w:val="superscript"/>
        </w:rPr>
        <w:t>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002 | 기원전 18세기경 — 함무라비 법전 제48조가 재해로 수확이 사라진 해의 곡물채무 이자를 다뤘다. 일반적 이자상한으로 오독하면 안 된다.</w:t>
      </w:r>
      <w:r>
        <w:rPr>
          <w:rFonts w:ascii="KoPubWorld바탕체_Pro Light" w:hAnsi="KoPubWorld바탕체_Pro Light" w:eastAsia="KoPubWorld바탕체_Pro Light" w:cs="KoPubWorld바탕체_Pro Light"/>
          <w:sz w:val="14"/>
          <w:vertAlign w:val="superscript"/>
        </w:rPr>
        <w:t>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003 | 1179·1215년 — 제3·4차 라테라노 공의회가 고리대금 규율을 반복하며 종교·신분·계약형식이 금융 접근을 갈랐다.</w:t>
      </w:r>
      <w:r>
        <w:rPr>
          <w:rFonts w:ascii="KoPubWorld바탕체_Pro Light" w:hAnsi="KoPubWorld바탕체_Pro Light" w:eastAsia="KoPubWorld바탕체_Pro Light" w:cs="KoPubWorld바탕체_Pro Light"/>
          <w:sz w:val="14"/>
          <w:vertAlign w:val="superscript"/>
        </w:rPr>
        <w:t>5</w:t>
      </w:r>
      <w:r>
        <w:rPr>
          <w:rFonts w:ascii="KoPubWorld바탕체_Pro Light" w:hAnsi="KoPubWorld바탕체_Pro Light" w:eastAsia="KoPubWorld바탕체_Pro Light" w:cs="KoPubWorld바탕체_Pro Light"/>
          <w:sz w:val="14"/>
          <w:vertAlign w:val="superscript"/>
        </w:rPr>
        <w:t>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004 | 1275년 — 잉글랜드 유대인법이 이자부 대부를 금지해 가격규제가 진입·신분 규제가 될 수 있음을 보여 주었다.</w:t>
      </w:r>
      <w:r>
        <w:rPr>
          <w:rFonts w:ascii="KoPubWorld바탕체_Pro Light" w:hAnsi="KoPubWorld바탕체_Pro Light" w:eastAsia="KoPubWorld바탕체_Pro Light" w:cs="KoPubWorld바탕체_Pro Light"/>
          <w:sz w:val="14"/>
          <w:vertAlign w:val="superscript"/>
        </w:rPr>
        <w:t>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005 | 1609년 — 암스테르담 환은행이 여러 주화를 장부화폐로 바꾸며 공공은행과 결제기준을 결합했다.</w:t>
      </w:r>
      <w:r>
        <w:rPr>
          <w:rFonts w:ascii="KoPubWorld바탕체_Pro Light" w:hAnsi="KoPubWorld바탕체_Pro Light" w:eastAsia="KoPubWorld바탕체_Pro Light" w:cs="KoPubWorld바탕체_Pro Light"/>
          <w:sz w:val="14"/>
          <w:vertAlign w:val="superscript"/>
        </w:rPr>
        <w:t>21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006 | 1694년 — 영란은행 설립과 정부대출이 국가신용과 은행신용을 한 장부에 묶었다.</w:t>
      </w:r>
      <w:r>
        <w:rPr>
          <w:rFonts w:ascii="KoPubWorld바탕체_Pro Light" w:hAnsi="KoPubWorld바탕체_Pro Light" w:eastAsia="KoPubWorld바탕체_Pro Light" w:cs="KoPubWorld바탕체_Pro Light"/>
          <w:sz w:val="14"/>
          <w:vertAlign w:val="superscript"/>
        </w:rPr>
        <w:t>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007 | 1696년 — 대개주화가 깎이고 위조된 은화를 회수해 화폐 품질과 국가신뢰를 함께 복구하려 했다.</w:t>
      </w:r>
      <w:r>
        <w:rPr>
          <w:rFonts w:ascii="KoPubWorld바탕체_Pro Light" w:hAnsi="KoPubWorld바탕체_Pro Light" w:eastAsia="KoPubWorld바탕체_Pro Light" w:cs="KoPubWorld바탕체_Pro Light"/>
          <w:sz w:val="14"/>
          <w:vertAlign w:val="superscript"/>
        </w:rPr>
        <w:t>12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008 | 1720년 6월 — 버블법이 남해회사 거품이 진행되는 동안 통과됐다. 폭락 뒤 만들어진 법이 아니었다.</w:t>
      </w:r>
      <w:r>
        <w:rPr>
          <w:rFonts w:ascii="KoPubWorld바탕체_Pro Light" w:hAnsi="KoPubWorld바탕체_Pro Light" w:eastAsia="KoPubWorld바탕체_Pro Light" w:cs="KoPubWorld바탕체_Pro Light"/>
          <w:sz w:val="14"/>
          <w:vertAlign w:val="superscript"/>
        </w:rPr>
        <w:t>26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009 | 1720년 하반기 — 남해회사 주가 붕괴가 회사특혜·홍보·신용과 정치적 이해상충을 공론장으로 끌어냈다.</w:t>
      </w:r>
      <w:r>
        <w:rPr>
          <w:rFonts w:ascii="KoPubWorld바탕체_Pro Light" w:hAnsi="KoPubWorld바탕체_Pro Light" w:eastAsia="KoPubWorld바탕체_Pro Light" w:cs="KoPubWorld바탕체_Pro Light"/>
          <w:sz w:val="14"/>
          <w:vertAlign w:val="superscript"/>
        </w:rPr>
        <w:t>25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010 | 1745년 — 「Vix Pervenit」이 소비대차의 원금 초과 이득을 논하며 이자와 정당한 보상의 경계를 다시 물었다.</w:t>
      </w:r>
      <w:r>
        <w:rPr>
          <w:rFonts w:ascii="KoPubWorld바탕체_Pro Light" w:hAnsi="KoPubWorld바탕체_Pro Light" w:eastAsia="KoPubWorld바탕체_Pro Light" w:cs="KoPubWorld바탕체_Pro Light"/>
          <w:sz w:val="14"/>
          <w:vertAlign w:val="superscript"/>
        </w:rPr>
        <w:t>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011 | 1816년 — 영국 주화법이 금본위의 법적 틀을 정비해 금융계약의 측정단위를 국가가 규정했다.</w:t>
      </w:r>
      <w:r>
        <w:rPr>
          <w:rFonts w:ascii="KoPubWorld바탕체_Pro Light" w:hAnsi="KoPubWorld바탕체_Pro Light" w:eastAsia="KoPubWorld바탕체_Pro Light" w:cs="KoPubWorld바탕체_Pro Light"/>
          <w:sz w:val="14"/>
          <w:vertAlign w:val="superscript"/>
        </w:rPr>
        <w:t>15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012 | 1825년 — 버블법 폐지가 회사설립 금지에서 등록·공시 중심 규제로 옮겨 갈 길을 열었다.</w:t>
      </w:r>
      <w:r>
        <w:rPr>
          <w:rFonts w:ascii="KoPubWorld바탕체_Pro Light" w:hAnsi="KoPubWorld바탕체_Pro Light" w:eastAsia="KoPubWorld바탕체_Pro Light" w:cs="KoPubWorld바탕체_Pro Light"/>
          <w:sz w:val="14"/>
          <w:vertAlign w:val="superscript"/>
        </w:rPr>
        <w:t>27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013 | 1844년 — 영국 합자회사법이 등록과 공시를 회사의 합법성 조건으로 만들었다.</w:t>
      </w:r>
      <w:r>
        <w:rPr>
          <w:rFonts w:ascii="KoPubWorld바탕체_Pro Light" w:hAnsi="KoPubWorld바탕체_Pro Light" w:eastAsia="KoPubWorld바탕체_Pro Light" w:cs="KoPubWorld바탕체_Pro Light"/>
          <w:sz w:val="14"/>
          <w:vertAlign w:val="superscript"/>
        </w:rPr>
        <w:t>28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014 | 1844년 — 은행특허법이 영국 은행권 발행을 제한·집중시켜 화폐와 은행업의 경계를 다시 그었다.</w:t>
      </w:r>
      <w:r>
        <w:rPr>
          <w:rFonts w:ascii="KoPubWorld바탕체_Pro Light" w:hAnsi="KoPubWorld바탕체_Pro Light" w:eastAsia="KoPubWorld바탕체_Pro Light" w:cs="KoPubWorld바탕체_Pro Light"/>
          <w:sz w:val="14"/>
          <w:vertAlign w:val="superscript"/>
        </w:rPr>
        <w:t>32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015 | 1854년 — 영국이 일반적 고리대금법을 폐지하며 금리상한보다 계약자유를 앞세웠다.</w:t>
      </w:r>
      <w:r>
        <w:rPr>
          <w:rFonts w:ascii="KoPubWorld바탕체_Pro Light" w:hAnsi="KoPubWorld바탕체_Pro Light" w:eastAsia="KoPubWorld바탕체_Pro Light" w:cs="KoPubWorld바탕체_Pro Light"/>
          <w:sz w:val="14"/>
          <w:vertAlign w:val="superscript"/>
        </w:rPr>
        <w:t>10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016 | 1855년 — 유한책임법이 주주의 최대손실을 제한하는 대신 채권자에게 등록·회계·공시의 중요성을 키웠다.</w:t>
      </w:r>
      <w:r>
        <w:rPr>
          <w:rFonts w:ascii="KoPubWorld바탕체_Pro Light" w:hAnsi="KoPubWorld바탕체_Pro Light" w:eastAsia="KoPubWorld바탕체_Pro Light" w:cs="KoPubWorld바탕체_Pro Light"/>
          <w:sz w:val="14"/>
          <w:vertAlign w:val="superscript"/>
        </w:rPr>
        <w:t>31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017 | 1863-1864년 — 미국 국민은행법이 연방인가, 통일적 은행권과 통화감독청을 만들었다.</w:t>
      </w:r>
      <w:r>
        <w:rPr>
          <w:rFonts w:ascii="KoPubWorld바탕체_Pro Light" w:hAnsi="KoPubWorld바탕체_Pro Light" w:eastAsia="KoPubWorld바탕체_Pro Light" w:cs="KoPubWorld바탕체_Pro Light"/>
          <w:sz w:val="14"/>
          <w:vertAlign w:val="superscript"/>
        </w:rPr>
        <w:t>35</w:t>
      </w:r>
      <w:r>
        <w:rPr>
          <w:rFonts w:ascii="KoPubWorld바탕체_Pro Light" w:hAnsi="KoPubWorld바탕체_Pro Light" w:eastAsia="KoPubWorld바탕체_Pro Light" w:cs="KoPubWorld바탕체_Pro Light"/>
          <w:sz w:val="14"/>
          <w:vertAlign w:val="superscript"/>
        </w:rPr>
        <w:t>37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018 | 1866년 — 오버렌드 거니 파산과 영란은행 지원이 부실기관 정리와 시장유동성 공급의 구분을 시험했다.</w:t>
      </w:r>
      <w:r>
        <w:rPr>
          <w:rFonts w:ascii="KoPubWorld바탕체_Pro Light" w:hAnsi="KoPubWorld바탕체_Pro Light" w:eastAsia="KoPubWorld바탕체_Pro Light" w:cs="KoPubWorld바탕체_Pro Light"/>
          <w:sz w:val="14"/>
          <w:vertAlign w:val="superscript"/>
        </w:rPr>
        <w:t>20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019 | 1873년 — 배저트의 「롬바드 스트리트」가 위기대출의 담보·금리·충분성 원칙을 후대의 기준점으로 만들었다.</w:t>
      </w:r>
      <w:r>
        <w:rPr>
          <w:rFonts w:ascii="KoPubWorld바탕체_Pro Light" w:hAnsi="KoPubWorld바탕체_Pro Light" w:eastAsia="KoPubWorld바탕체_Pro Light" w:cs="KoPubWorld바탕체_Pro Light"/>
          <w:sz w:val="14"/>
          <w:vertAlign w:val="superscript"/>
        </w:rPr>
        <w:t>34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020 | 1882년 — 영국 환어음법이 국경을 넘던 상인관행을 국가법의 통일된 문장으로 정리했다.</w:t>
      </w:r>
      <w:r>
        <w:rPr>
          <w:rFonts w:ascii="KoPubWorld바탕체_Pro Light" w:hAnsi="KoPubWorld바탕체_Pro Light" w:eastAsia="KoPubWorld바탕체_Pro Light" w:cs="KoPubWorld바탕체_Pro Light"/>
          <w:sz w:val="14"/>
          <w:vertAlign w:val="superscript"/>
        </w:rPr>
        <w:t>17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021 | 1907년 — 미국 공황을 민간 금융가들이 수습하면서 공적 중앙은행 부재의 비용이 드러났다.</w:t>
      </w:r>
      <w:r>
        <w:rPr>
          <w:rFonts w:ascii="KoPubWorld바탕체_Pro Light" w:hAnsi="KoPubWorld바탕체_Pro Light" w:eastAsia="KoPubWorld바탕체_Pro Light" w:cs="KoPubWorld바탕체_Pro Light"/>
          <w:sz w:val="14"/>
          <w:vertAlign w:val="superscript"/>
        </w:rPr>
        <w:t>39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022 | 1910년 — 지킬섬 회의가 지역·민간·공공 권력을 섞은 미국 중앙은행 설계를 논의했다.</w:t>
      </w:r>
      <w:r>
        <w:rPr>
          <w:rFonts w:ascii="KoPubWorld바탕체_Pro Light" w:hAnsi="KoPubWorld바탕체_Pro Light" w:eastAsia="KoPubWorld바탕체_Pro Light" w:cs="KoPubWorld바탕체_Pro Light"/>
          <w:sz w:val="14"/>
          <w:vertAlign w:val="superscript"/>
        </w:rPr>
        <w:t>42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023 | 1913년 — 연방준비법이 재할인, 준비금과 지급결제의 공적 중심을 만들었다.</w:t>
      </w:r>
      <w:r>
        <w:rPr>
          <w:rFonts w:ascii="KoPubWorld바탕체_Pro Light" w:hAnsi="KoPubWorld바탕체_Pro Light" w:eastAsia="KoPubWorld바탕체_Pro Light" w:cs="KoPubWorld바탕체_Pro Light"/>
          <w:sz w:val="14"/>
          <w:vertAlign w:val="superscript"/>
        </w:rPr>
        <w:t>40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024 | 1929년 10월 — 주가폭락이 시작점은 되었지만 이후 은행공황·정책실패와 실물침체가 대공황을 깊게 했다.</w:t>
      </w:r>
      <w:r>
        <w:rPr>
          <w:rFonts w:ascii="KoPubWorld바탕체_Pro Light" w:hAnsi="KoPubWorld바탕체_Pro Light" w:eastAsia="KoPubWorld바탕체_Pro Light" w:cs="KoPubWorld바탕체_Pro Light"/>
          <w:sz w:val="14"/>
          <w:vertAlign w:val="superscript"/>
        </w:rPr>
        <w:t>45</w:t>
      </w:r>
      <w:r>
        <w:rPr>
          <w:rFonts w:ascii="KoPubWorld바탕체_Pro Light" w:hAnsi="KoPubWorld바탕체_Pro Light" w:eastAsia="KoPubWorld바탕체_Pro Light" w:cs="KoPubWorld바탕체_Pro Light"/>
          <w:sz w:val="14"/>
          <w:vertAlign w:val="superscript"/>
        </w:rPr>
        <w:t>44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025 | 1930-1931년 — 연속된 은행런이 예금보험과 정리제도의 부재를 시스템 문제로 바꾸었다.</w:t>
      </w:r>
      <w:r>
        <w:rPr>
          <w:rFonts w:ascii="KoPubWorld바탕체_Pro Light" w:hAnsi="KoPubWorld바탕체_Pro Light" w:eastAsia="KoPubWorld바탕체_Pro Light" w:cs="KoPubWorld바탕체_Pro Light"/>
          <w:sz w:val="14"/>
          <w:vertAlign w:val="superscript"/>
        </w:rPr>
        <w:t>47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026 | 1933년 3월 — 전국 은행휴업과 심사 후 재개방이 인출 경쟁의 시간을 끊었다.</w:t>
      </w:r>
      <w:r>
        <w:rPr>
          <w:rFonts w:ascii="KoPubWorld바탕체_Pro Light" w:hAnsi="KoPubWorld바탕체_Pro Light" w:eastAsia="KoPubWorld바탕체_Pro Light" w:cs="KoPubWorld바탕체_Pro Light"/>
          <w:sz w:val="14"/>
          <w:vertAlign w:val="superscript"/>
        </w:rPr>
        <w:t>49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027 | 1933년 6월 — 은행법이 FDIC를 만들고 상업은행·증권업의 일부 업무를 분리했다.</w:t>
      </w:r>
      <w:r>
        <w:rPr>
          <w:rFonts w:ascii="KoPubWorld바탕체_Pro Light" w:hAnsi="KoPubWorld바탕체_Pro Light" w:eastAsia="KoPubWorld바탕체_Pro Light" w:cs="KoPubWorld바탕체_Pro Light"/>
          <w:sz w:val="14"/>
          <w:vertAlign w:val="superscript"/>
        </w:rPr>
        <w:t>46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028 | 1933년 5월 — 증권법이 발행시장 공시와 허위표시 책임을 강화했다.</w:t>
      </w:r>
      <w:r>
        <w:rPr>
          <w:rFonts w:ascii="KoPubWorld바탕체_Pro Light" w:hAnsi="KoPubWorld바탕체_Pro Light" w:eastAsia="KoPubWorld바탕체_Pro Light" w:cs="KoPubWorld바탕체_Pro Light"/>
          <w:sz w:val="14"/>
          <w:vertAlign w:val="superscript"/>
        </w:rPr>
        <w:t>52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029 | 1934년 6월 — 증권거래법과 SEC가 유통시장, 거래소와 중개인 감독을 제도화했다.</w:t>
      </w:r>
      <w:r>
        <w:rPr>
          <w:rFonts w:ascii="KoPubWorld바탕체_Pro Light" w:hAnsi="KoPubWorld바탕체_Pro Light" w:eastAsia="KoPubWorld바탕체_Pro Light" w:cs="KoPubWorld바탕체_Pro Light"/>
          <w:sz w:val="14"/>
          <w:vertAlign w:val="superscript"/>
        </w:rPr>
        <w:t>53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030 | 1944년 7월 — 브레턴우즈 회의가 고정환율, 국제수지 지원과 자본통제의 전후 틀을 합의했다.</w:t>
      </w:r>
      <w:r>
        <w:rPr>
          <w:rFonts w:ascii="KoPubWorld바탕체_Pro Light" w:hAnsi="KoPubWorld바탕체_Pro Light" w:eastAsia="KoPubWorld바탕체_Pro Light" w:cs="KoPubWorld바탕체_Pro Light"/>
          <w:sz w:val="14"/>
          <w:vertAlign w:val="superscript"/>
        </w:rPr>
        <w:t>54</w:t>
      </w:r>
      <w:r>
        <w:rPr>
          <w:rFonts w:ascii="KoPubWorld바탕체_Pro Light" w:hAnsi="KoPubWorld바탕체_Pro Light" w:eastAsia="KoPubWorld바탕체_Pro Light" w:cs="KoPubWorld바탕체_Pro Light"/>
          <w:sz w:val="14"/>
          <w:vertAlign w:val="superscript"/>
        </w:rPr>
        <w:t>58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031 | 1945년 12월 — IMF 협정문이 발효돼 환율·국제수지·자본이동이 상시 국제협력의 대상이 됐다.</w:t>
      </w:r>
      <w:r>
        <w:rPr>
          <w:rFonts w:ascii="KoPubWorld바탕체_Pro Light" w:hAnsi="KoPubWorld바탕체_Pro Light" w:eastAsia="KoPubWorld바탕체_Pro Light" w:cs="KoPubWorld바탕체_Pro Light"/>
          <w:sz w:val="14"/>
          <w:vertAlign w:val="superscript"/>
        </w:rPr>
        <w:t>56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032 | 1951년 — 미 재무부-연준 협정이 국채금리 고정 지원을 끝내 통화정책 자율성의 경계를 다시 세웠다.</w:t>
      </w:r>
      <w:r>
        <w:rPr>
          <w:rFonts w:ascii="KoPubWorld바탕체_Pro Light" w:hAnsi="KoPubWorld바탕체_Pro Light" w:eastAsia="KoPubWorld바탕체_Pro Light" w:cs="KoPubWorld바탕체_Pro Light"/>
          <w:sz w:val="14"/>
          <w:vertAlign w:val="superscript"/>
        </w:rPr>
        <w:t>63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033 | 1961년 — OECD 자본이동 자유화 규약이 개방을 국가별 유보와 단계적 의무의 과정으로 만들었다.</w:t>
      </w:r>
      <w:r>
        <w:rPr>
          <w:rFonts w:ascii="KoPubWorld바탕체_Pro Light" w:hAnsi="KoPubWorld바탕체_Pro Light" w:eastAsia="KoPubWorld바탕체_Pro Light" w:cs="KoPubWorld바탕체_Pro Light"/>
          <w:sz w:val="14"/>
          <w:vertAlign w:val="superscript"/>
        </w:rPr>
        <w:t>73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034 | 1971년 8월 — 미국의 금 태환 중단이 브레턴우즈의 핵심 고리를 끊었다.</w:t>
      </w:r>
      <w:r>
        <w:rPr>
          <w:rFonts w:ascii="KoPubWorld바탕체_Pro Light" w:hAnsi="KoPubWorld바탕체_Pro Light" w:eastAsia="KoPubWorld바탕체_Pro Light" w:cs="KoPubWorld바탕체_Pro Light"/>
          <w:sz w:val="14"/>
          <w:vertAlign w:val="superscript"/>
        </w:rPr>
        <w:t>65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035 | 1973년 — 주요 통화의 변동환율 이행이 환율위험을 금융회사의 시장·모델 관리 문제로 옮겼다.</w:t>
      </w:r>
      <w:r>
        <w:rPr>
          <w:rFonts w:ascii="KoPubWorld바탕체_Pro Light" w:hAnsi="KoPubWorld바탕체_Pro Light" w:eastAsia="KoPubWorld바탕체_Pro Light" w:cs="KoPubWorld바탕체_Pro Light"/>
          <w:sz w:val="14"/>
          <w:vertAlign w:val="superscript"/>
        </w:rPr>
        <w:t>66</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국경을 넘는 위험과 위기 후 개혁 — 036-070</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036 | 1974년 6월 — 헤르슈타트은행 폐쇄가 외환의 한쪽을 지급하고 반대 통화를 못 받는 시차 결제위험을 드러냈다.</w:t>
      </w:r>
      <w:r>
        <w:rPr>
          <w:rFonts w:ascii="KoPubWorld바탕체_Pro Light" w:hAnsi="KoPubWorld바탕체_Pro Light" w:eastAsia="KoPubWorld바탕체_Pro Light" w:cs="KoPubWorld바탕체_Pro Light"/>
          <w:sz w:val="14"/>
          <w:vertAlign w:val="superscript"/>
        </w:rPr>
        <w:t>76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037 | 1974년 말 — G10 중앙은행 총재들이 바젤은행감독위원회를 설치했다. 위원회 기준은 국내 이행 전에는 직접 법률이 아니다.</w:t>
      </w:r>
      <w:r>
        <w:rPr>
          <w:rFonts w:ascii="KoPubWorld바탕체_Pro Light" w:hAnsi="KoPubWorld바탕체_Pro Light" w:eastAsia="KoPubWorld바탕체_Pro Light" w:cs="KoPubWorld바탕체_Pro Light"/>
          <w:sz w:val="14"/>
          <w:vertAlign w:val="superscript"/>
        </w:rPr>
        <w:t>76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038 | 1980년 — 미국 DIDMCA가 예금금리 규제완화와 연준 지급준비·접근 확대를 함께 담았다.</w:t>
      </w:r>
      <w:r>
        <w:rPr>
          <w:rFonts w:ascii="KoPubWorld바탕체_Pro Light" w:hAnsi="KoPubWorld바탕체_Pro Light" w:eastAsia="KoPubWorld바탕체_Pro Light" w:cs="KoPubWorld바탕체_Pro Light"/>
          <w:sz w:val="14"/>
          <w:vertAlign w:val="superscript"/>
        </w:rPr>
        <w:t>69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039 | 1986년 10월 — 런던 빅뱅이 고정수수료와 업무장벽을 허물어 증권업 경쟁·집중을 동시에 키웠다.</w:t>
      </w:r>
      <w:r>
        <w:rPr>
          <w:rFonts w:ascii="KoPubWorld바탕체_Pro Light" w:hAnsi="KoPubWorld바탕체_Pro Light" w:eastAsia="KoPubWorld바탕체_Pro Light" w:cs="KoPubWorld바탕체_Pro Light"/>
          <w:sz w:val="14"/>
          <w:vertAlign w:val="superscript"/>
        </w:rPr>
        <w:t>68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040 | 1986년 — 영국 금융서비스법이 시장개방 뒤 투자업 감독의 새 틀을 만들었다.</w:t>
      </w:r>
      <w:r>
        <w:rPr>
          <w:rFonts w:ascii="KoPubWorld바탕체_Pro Light" w:hAnsi="KoPubWorld바탕체_Pro Light" w:eastAsia="KoPubWorld바탕체_Pro Light" w:cs="KoPubWorld바탕체_Pro Light"/>
          <w:sz w:val="14"/>
          <w:vertAlign w:val="superscript"/>
        </w:rPr>
        <w:t>71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041 | 1988년 7월 — 바젤 I가 위험가중자산 대비 최소자본이라는 국제 공통어를 제시했다.</w:t>
      </w:r>
      <w:r>
        <w:rPr>
          <w:rFonts w:ascii="KoPubWorld바탕체_Pro Light" w:hAnsi="KoPubWorld바탕체_Pro Light" w:eastAsia="KoPubWorld바탕체_Pro Light" w:cs="KoPubWorld바탕체_Pro Light"/>
          <w:sz w:val="14"/>
          <w:vertAlign w:val="superscript"/>
        </w:rPr>
        <w:t>75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042 | 1989년 — FIRREA가 미국 저축대부조합 위기 뒤 감독·정리기관과 비용부담 구조를 재편했다.</w:t>
      </w:r>
      <w:r>
        <w:rPr>
          <w:rFonts w:ascii="KoPubWorld바탕체_Pro Light" w:hAnsi="KoPubWorld바탕체_Pro Light" w:eastAsia="KoPubWorld바탕체_Pro Light" w:cs="KoPubWorld바탕체_Pro Light"/>
          <w:sz w:val="14"/>
          <w:vertAlign w:val="superscript"/>
        </w:rPr>
        <w:t>79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043 | 1989년 — EC 제2차 은행지침이 단일인가와 상호인정으로 유럽 은행시장의 통합을 밀었다.</w:t>
      </w:r>
      <w:r>
        <w:rPr>
          <w:rFonts w:ascii="KoPubWorld바탕체_Pro Light" w:hAnsi="KoPubWorld바탕체_Pro Light" w:eastAsia="KoPubWorld바탕체_Pro Light" w:cs="KoPubWorld바탕체_Pro Light"/>
          <w:sz w:val="14"/>
          <w:vertAlign w:val="superscript"/>
        </w:rPr>
        <w:t>72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044 | 1996년 — 바젤 시장위험 개정이 내부모형을 자본규제 안으로 들여 모델 검증을 감독기술로 만들었다.</w:t>
      </w:r>
      <w:r>
        <w:rPr>
          <w:rFonts w:ascii="KoPubWorld바탕체_Pro Light" w:hAnsi="KoPubWorld바탕체_Pro Light" w:eastAsia="KoPubWorld바탕체_Pro Light" w:cs="KoPubWorld바탕체_Pro Light"/>
          <w:sz w:val="14"/>
          <w:vertAlign w:val="superscript"/>
        </w:rPr>
        <w:t>80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045 | 1997년 7월 이후 — 아시아 위기가 단기외화부채·환율기대·취약한 감독의 결합을 드러냈다.</w:t>
      </w:r>
      <w:r>
        <w:rPr>
          <w:rFonts w:ascii="KoPubWorld바탕체_Pro Light" w:hAnsi="KoPubWorld바탕체_Pro Light" w:eastAsia="KoPubWorld바탕체_Pro Light" w:cs="KoPubWorld바탕체_Pro Light"/>
          <w:sz w:val="14"/>
          <w:vertAlign w:val="superscript"/>
        </w:rPr>
        <w:t>83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046 | 1997년 12월 — WTO 금융서비스 합의가 국경간 금융시장 개방을 다자 약속으로 넓혔다.</w:t>
      </w:r>
      <w:r>
        <w:rPr>
          <w:rFonts w:ascii="KoPubWorld바탕체_Pro Light" w:hAnsi="KoPubWorld바탕체_Pro Light" w:eastAsia="KoPubWorld바탕체_Pro Light" w:cs="KoPubWorld바탕체_Pro Light"/>
          <w:sz w:val="14"/>
          <w:vertAlign w:val="superscript"/>
        </w:rPr>
        <w:t>74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047 | 1998년 9월 — LTCM 위기가 헤지펀드의 파생·레버리지가 은행 거래상대방망을 통해 시스템 안으로 들어옴을 보여 주었다.</w:t>
      </w:r>
      <w:r>
        <w:rPr>
          <w:rFonts w:ascii="KoPubWorld바탕체_Pro Light" w:hAnsi="KoPubWorld바탕체_Pro Light" w:eastAsia="KoPubWorld바탕체_Pro Light" w:cs="KoPubWorld바탕체_Pro Light"/>
          <w:sz w:val="14"/>
          <w:vertAlign w:val="superscript"/>
        </w:rPr>
        <w:t>91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048 | 1999년 — 금융안정포럼이 국제기준 설정기관과 국내당국의 협력을 묶기 시작했다.</w:t>
      </w:r>
      <w:r>
        <w:rPr>
          <w:rFonts w:ascii="KoPubWorld바탕체_Pro Light" w:hAnsi="KoPubWorld바탕체_Pro Light" w:eastAsia="KoPubWorld바탕체_Pro Light" w:cs="KoPubWorld바탕체_Pro Light"/>
          <w:sz w:val="14"/>
          <w:vertAlign w:val="superscript"/>
        </w:rPr>
        <w:t>88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049 | 1999년 11월 — 미국 금융서비스현대화법이 은행·증권·보험 결합을 확대했다.</w:t>
      </w:r>
      <w:r>
        <w:rPr>
          <w:rFonts w:ascii="KoPubWorld바탕체_Pro Light" w:hAnsi="KoPubWorld바탕체_Pro Light" w:eastAsia="KoPubWorld바탕체_Pro Light" w:cs="KoPubWorld바탕체_Pro Light"/>
          <w:sz w:val="14"/>
          <w:vertAlign w:val="superscript"/>
        </w:rPr>
        <w:t>93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050 | 2000년 — 상품선물현대화법이 장외파생상품의 법적 확실성을 높인 동시에 감독공백 논쟁을 남겼다.</w:t>
      </w:r>
      <w:r>
        <w:rPr>
          <w:rFonts w:ascii="KoPubWorld바탕체_Pro Light" w:hAnsi="KoPubWorld바탕체_Pro Light" w:eastAsia="KoPubWorld바탕체_Pro Light" w:cs="KoPubWorld바탕체_Pro Light"/>
          <w:sz w:val="14"/>
          <w:vertAlign w:val="superscript"/>
        </w:rPr>
        <w:t>95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051 | 2004·2006년 — 바젤 II가 내부등급·운영위험, 감독점검과 시장규율의 세 축을 정교화했다.</w:t>
      </w:r>
      <w:r>
        <w:rPr>
          <w:rFonts w:ascii="KoPubWorld바탕체_Pro Light" w:hAnsi="KoPubWorld바탕체_Pro Light" w:eastAsia="KoPubWorld바탕체_Pro Light" w:cs="KoPubWorld바탕체_Pro Light"/>
          <w:sz w:val="14"/>
          <w:vertAlign w:val="superscript"/>
        </w:rPr>
        <w:t>90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052 | 2006년 — 미국 신용평가기관개혁법이 등급산업의 등록·감독 틀을 만들었다.</w:t>
      </w:r>
      <w:r>
        <w:rPr>
          <w:rFonts w:ascii="KoPubWorld바탕체_Pro Light" w:hAnsi="KoPubWorld바탕체_Pro Light" w:eastAsia="KoPubWorld바탕체_Pro Light" w:cs="KoPubWorld바탕체_Pro Light"/>
          <w:sz w:val="14"/>
          <w:vertAlign w:val="superscript"/>
        </w:rPr>
        <w:t>96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053 | 2007년 — 서브프라임 손실과 유동화시장 경색이 단기 도매조달의 취약성을 드러냈다.</w:t>
      </w:r>
      <w:r>
        <w:rPr>
          <w:rFonts w:ascii="KoPubWorld바탕체_Pro Light" w:hAnsi="KoPubWorld바탕체_Pro Light" w:eastAsia="KoPubWorld바탕체_Pro Light" w:cs="KoPubWorld바탕체_Pro Light"/>
          <w:sz w:val="14"/>
          <w:vertAlign w:val="superscript"/>
        </w:rPr>
        <w:t>98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054 | 2008년 9월 15일 — 리먼브러더스 파산이 법적 정리경계와 글로벌 자금시장의 연결을 시험했다.</w:t>
      </w:r>
      <w:r>
        <w:rPr>
          <w:rFonts w:ascii="KoPubWorld바탕체_Pro Light" w:hAnsi="KoPubWorld바탕체_Pro Light" w:eastAsia="KoPubWorld바탕체_Pro Light" w:cs="KoPubWorld바탕체_Pro Light"/>
          <w:sz w:val="14"/>
          <w:vertAlign w:val="superscript"/>
        </w:rPr>
        <w:t>99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055 | 2008년 9월 16일 — 연준의 AIG 지원이 파생계약·보험그룹과 시스템위험의 경계를 넓혔다.</w:t>
      </w:r>
      <w:r>
        <w:rPr>
          <w:rFonts w:ascii="KoPubWorld바탕체_Pro Light" w:hAnsi="KoPubWorld바탕체_Pro Light" w:eastAsia="KoPubWorld바탕체_Pro Light" w:cs="KoPubWorld바탕체_Pro Light"/>
          <w:sz w:val="14"/>
          <w:vertAlign w:val="superscript"/>
        </w:rPr>
        <w:t>101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056 | 2008년 10월 — 긴급경제안정법과 TARP가 자본확충·부실자산 대응의 법적 통로를 만들었다.</w:t>
      </w:r>
      <w:r>
        <w:rPr>
          <w:rFonts w:ascii="KoPubWorld바탕체_Pro Light" w:hAnsi="KoPubWorld바탕체_Pro Light" w:eastAsia="KoPubWorld바탕체_Pro Light" w:cs="KoPubWorld바탕체_Pro Light"/>
          <w:sz w:val="14"/>
          <w:vertAlign w:val="superscript"/>
        </w:rPr>
        <w:t>104</w:t>
      </w:r>
      <w:r>
        <w:rPr>
          <w:rFonts w:ascii="KoPubWorld바탕체_Pro Light" w:hAnsi="KoPubWorld바탕체_Pro Light" w:eastAsia="KoPubWorld바탕체_Pro Light" w:cs="KoPubWorld바탕체_Pro Light"/>
          <w:sz w:val="14"/>
          <w:vertAlign w:val="superscript"/>
        </w:rPr>
        <w:t>105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057 | 2008년 11월 — 워싱턴 G20가 위기개혁을 국내 대응에서 국제 공동의제로 바꿨다.</w:t>
      </w:r>
      <w:r>
        <w:rPr>
          <w:rFonts w:ascii="KoPubWorld바탕체_Pro Light" w:hAnsi="KoPubWorld바탕체_Pro Light" w:eastAsia="KoPubWorld바탕체_Pro Light" w:cs="KoPubWorld바탕체_Pro Light"/>
          <w:sz w:val="14"/>
          <w:vertAlign w:val="superscript"/>
        </w:rPr>
        <w:t>103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058 | 2009년 5월 — 미국 SCAP가 공개 스트레스테스트를 자본확충과 시장신뢰 회복에 연결했다.</w:t>
      </w:r>
      <w:r>
        <w:rPr>
          <w:rFonts w:ascii="KoPubWorld바탕체_Pro Light" w:hAnsi="KoPubWorld바탕체_Pro Light" w:eastAsia="KoPubWorld바탕체_Pro Light" w:cs="KoPubWorld바탕체_Pro Light"/>
          <w:sz w:val="14"/>
          <w:vertAlign w:val="superscript"/>
        </w:rPr>
        <w:t>108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059 | 2009년 4월 — 런던 G20가 금융안정포럼을 더 넓은 금융안정위원회로 전환했다.</w:t>
      </w:r>
      <w:r>
        <w:rPr>
          <w:rFonts w:ascii="KoPubWorld바탕체_Pro Light" w:hAnsi="KoPubWorld바탕체_Pro Light" w:eastAsia="KoPubWorld바탕체_Pro Light" w:cs="KoPubWorld바탕체_Pro Light"/>
          <w:sz w:val="14"/>
          <w:vertAlign w:val="superscript"/>
        </w:rPr>
        <w:t>109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060 | 2010년 7월 — 도드-프랭크법이 시스템위험, 정리, 파생상품과 소비자보호 체계를 재편했다.</w:t>
      </w:r>
      <w:r>
        <w:rPr>
          <w:rFonts w:ascii="KoPubWorld바탕체_Pro Light" w:hAnsi="KoPubWorld바탕체_Pro Light" w:eastAsia="KoPubWorld바탕체_Pro Light" w:cs="KoPubWorld바탕체_Pro Light"/>
          <w:sz w:val="14"/>
          <w:vertAlign w:val="superscript"/>
        </w:rPr>
        <w:t>110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061 | 2010-2011년 — 바젤 III가 보통주 중심 자본의 질, 보전·경기대응 완충과 레버리지 규율을 강화했다.</w:t>
      </w:r>
      <w:r>
        <w:rPr>
          <w:rFonts w:ascii="KoPubWorld바탕체_Pro Light" w:hAnsi="KoPubWorld바탕체_Pro Light" w:eastAsia="KoPubWorld바탕체_Pro Light" w:cs="KoPubWorld바탕체_Pro Light"/>
          <w:sz w:val="14"/>
          <w:vertAlign w:val="superscript"/>
        </w:rPr>
        <w:t>116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062 | 2011년 — FSB 핵심속성이 대형 금융회사를 공적구제 없이 정리할 권한·계획을 국제 기준으로 제시했다.</w:t>
      </w:r>
      <w:r>
        <w:rPr>
          <w:rFonts w:ascii="KoPubWorld바탕체_Pro Light" w:hAnsi="KoPubWorld바탕체_Pro Light" w:eastAsia="KoPubWorld바탕체_Pro Light" w:cs="KoPubWorld바탕체_Pro Light"/>
          <w:sz w:val="14"/>
          <w:vertAlign w:val="superscript"/>
        </w:rPr>
        <w:t>122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063 | 2013년 — LCR이 30일 유동성 스트레스에 대한 고유동성자산 완충을 표준화했다.</w:t>
      </w:r>
      <w:r>
        <w:rPr>
          <w:rFonts w:ascii="KoPubWorld바탕체_Pro Light" w:hAnsi="KoPubWorld바탕체_Pro Light" w:eastAsia="KoPubWorld바탕체_Pro Light" w:cs="KoPubWorld바탕체_Pro Light"/>
          <w:sz w:val="14"/>
          <w:vertAlign w:val="superscript"/>
        </w:rPr>
        <w:t>117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064 | 2014년 — NSFR이 1년 시계의 자산·조달 만기구조를 규율했다.</w:t>
      </w:r>
      <w:r>
        <w:rPr>
          <w:rFonts w:ascii="KoPubWorld바탕체_Pro Light" w:hAnsi="KoPubWorld바탕체_Pro Light" w:eastAsia="KoPubWorld바탕체_Pro Light" w:cs="KoPubWorld바탕체_Pro Light"/>
          <w:sz w:val="14"/>
          <w:vertAlign w:val="superscript"/>
        </w:rPr>
        <w:t>118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065 | 2015년 — TLAC가 글로벌 중요은행의 정리 손실흡수·재자본화 재원을 사전에 요구했다.</w:t>
      </w:r>
      <w:r>
        <w:rPr>
          <w:rFonts w:ascii="KoPubWorld바탕체_Pro Light" w:hAnsi="KoPubWorld바탕체_Pro Light" w:eastAsia="KoPubWorld바탕체_Pro Light" w:cs="KoPubWorld바탕체_Pro Light"/>
          <w:sz w:val="14"/>
          <w:vertAlign w:val="superscript"/>
        </w:rPr>
        <w:t>123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066 | 2017년 — 바젤위원회가 ‘바젤 IV’가 아닌 ‘최종 바젤 III 개혁’을 발표했다.</w:t>
      </w:r>
      <w:r>
        <w:rPr>
          <w:rFonts w:ascii="KoPubWorld바탕체_Pro Light" w:hAnsi="KoPubWorld바탕체_Pro Light" w:eastAsia="KoPubWorld바탕체_Pro Light" w:cs="KoPubWorld바탕체_Pro Light"/>
          <w:sz w:val="14"/>
          <w:vertAlign w:val="superscript"/>
        </w:rPr>
        <w:t>124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067 | 2020년 3월 — 팬데믹의 현금 확보 경쟁이 국채·펀드·딜러와 비은행 유동성을 새 시스템 과제로 만들었다.</w:t>
      </w:r>
      <w:r>
        <w:rPr>
          <w:rFonts w:ascii="KoPubWorld바탕체_Pro Light" w:hAnsi="KoPubWorld바탕체_Pro Light" w:eastAsia="KoPubWorld바탕체_Pro Light" w:cs="KoPubWorld바탕체_Pro Light"/>
          <w:sz w:val="14"/>
          <w:vertAlign w:val="superscript"/>
        </w:rPr>
        <w:t>218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068 | 2021-2022년 — 바젤 운영복원력 원칙과 EU DORA가 사고예방에서 중요업무의 허용한도·회복·제3자 감독으로 초점을 넓혔다.</w:t>
      </w:r>
      <w:r>
        <w:rPr>
          <w:rFonts w:ascii="KoPubWorld바탕체_Pro Light" w:hAnsi="KoPubWorld바탕체_Pro Light" w:eastAsia="KoPubWorld바탕체_Pro Light" w:cs="KoPubWorld바탕체_Pro Light"/>
          <w:sz w:val="14"/>
          <w:vertAlign w:val="superscript"/>
        </w:rPr>
        <w:t>205</w:t>
      </w:r>
      <w:r>
        <w:rPr>
          <w:rFonts w:ascii="KoPubWorld바탕체_Pro Light" w:hAnsi="KoPubWorld바탕체_Pro Light" w:eastAsia="KoPubWorld바탕체_Pro Light" w:cs="KoPubWorld바탕체_Pro Light"/>
          <w:sz w:val="14"/>
          <w:vertAlign w:val="superscript"/>
        </w:rPr>
        <w:t>208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069 | 2023년 — 미국 은행불안·크레디트스위스와 EU MiCA 제정이 디지털 런, 금리위험과 암호자산 경계를 동시에 규제 의제로 올렸다.</w:t>
      </w:r>
      <w:r>
        <w:rPr>
          <w:rFonts w:ascii="KoPubWorld바탕체_Pro Light" w:hAnsi="KoPubWorld바탕체_Pro Light" w:eastAsia="KoPubWorld바탕체_Pro Light" w:cs="KoPubWorld바탕체_Pro Light"/>
          <w:sz w:val="14"/>
          <w:vertAlign w:val="superscript"/>
        </w:rPr>
        <w:t>119</w:t>
      </w:r>
      <w:r>
        <w:rPr>
          <w:rFonts w:ascii="KoPubWorld바탕체_Pro Light" w:hAnsi="KoPubWorld바탕체_Pro Light" w:eastAsia="KoPubWorld바탕체_Pro Light" w:cs="KoPubWorld바탕체_Pro Light"/>
          <w:sz w:val="14"/>
          <w:vertAlign w:val="superscript"/>
        </w:rPr>
        <w:t>195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070 | 2024-2026년 — 개정 바젤 핵심원칙, MiCA·DORA 적용과 FATF 개정이 발표보다 국내·현장 이행이 규제의 완성임을 보여 주었다.</w:t>
      </w:r>
      <w:r>
        <w:rPr>
          <w:rFonts w:ascii="KoPubWorld바탕체_Pro Light" w:hAnsi="KoPubWorld바탕체_Pro Light" w:eastAsia="KoPubWorld바탕체_Pro Light" w:cs="KoPubWorld바탕체_Pro Light"/>
          <w:sz w:val="14"/>
          <w:vertAlign w:val="superscript"/>
        </w:rPr>
        <w:t>220</w:t>
      </w:r>
      <w:r>
        <w:rPr>
          <w:rFonts w:ascii="KoPubWorld바탕체_Pro Light" w:hAnsi="KoPubWorld바탕체_Pro Light" w:eastAsia="KoPubWorld바탕체_Pro Light" w:cs="KoPubWorld바탕체_Pro Light"/>
          <w:sz w:val="14"/>
          <w:vertAlign w:val="superscript"/>
        </w:rPr>
        <w:t>221</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한국의 화폐주권·개발·감독·디지털 전환 — 071-100</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071 | 1878년 6월 — 일본 제일은행 부산지점이 근대식 은행업의 시작과 외국 금융지배의 출발을 함께 알렸다.</w:t>
      </w:r>
      <w:r>
        <w:rPr>
          <w:rFonts w:ascii="KoPubWorld바탕체_Pro Light" w:hAnsi="KoPubWorld바탕체_Pro Light" w:eastAsia="KoPubWorld바탕체_Pro Light" w:cs="KoPubWorld바탕체_Pro Light"/>
          <w:sz w:val="14"/>
          <w:vertAlign w:val="superscript"/>
        </w:rPr>
        <w:t>222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072 | 1884년 — 제일은행의 해관세 취급이 상업은행을 국가수입의 관문으로 만들었다.</w:t>
      </w:r>
      <w:r>
        <w:rPr>
          <w:rFonts w:ascii="KoPubWorld바탕체_Pro Light" w:hAnsi="KoPubWorld바탕체_Pro Light" w:eastAsia="KoPubWorld바탕체_Pro Light" w:cs="KoPubWorld바탕체_Pro Light"/>
          <w:sz w:val="14"/>
          <w:vertAlign w:val="superscript"/>
        </w:rPr>
        <w:t>222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073 | 1894년 7월 — 신식화폐발행장정이 조세금납·은본위와 통일된 화폐질서를 시도했다.</w:t>
      </w:r>
      <w:r>
        <w:rPr>
          <w:rFonts w:ascii="KoPubWorld바탕체_Pro Light" w:hAnsi="KoPubWorld바탕체_Pro Light" w:eastAsia="KoPubWorld바탕체_Pro Light" w:cs="KoPubWorld바탕체_Pro Light"/>
          <w:sz w:val="14"/>
          <w:vertAlign w:val="superscript"/>
        </w:rPr>
        <w:t>137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074 | 1901-1902년 — 화폐조례의 금본위 구상과 제일은행권 발행이 법정질서와 실제 결제권력의 간극을 드러냈다.</w:t>
      </w:r>
      <w:r>
        <w:rPr>
          <w:rFonts w:ascii="KoPubWorld바탕체_Pro Light" w:hAnsi="KoPubWorld바탕체_Pro Light" w:eastAsia="KoPubWorld바탕체_Pro Light" w:cs="KoPubWorld바탕체_Pro Light"/>
          <w:sz w:val="14"/>
          <w:vertAlign w:val="superscript"/>
        </w:rPr>
        <w:t>137</w:t>
      </w:r>
      <w:r>
        <w:rPr>
          <w:rFonts w:ascii="KoPubWorld바탕체_Pro Light" w:hAnsi="KoPubWorld바탕체_Pro Light" w:eastAsia="KoPubWorld바탕체_Pro Light" w:cs="KoPubWorld바탕체_Pro Light"/>
          <w:sz w:val="14"/>
          <w:vertAlign w:val="superscript"/>
        </w:rPr>
        <w:t>222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075 | 1905년 — 화폐정리사업의 교환기준이 구화폐 보유자의 손실과 화폐주권을 재배분했다.</w:t>
      </w:r>
      <w:r>
        <w:rPr>
          <w:rFonts w:ascii="KoPubWorld바탕체_Pro Light" w:hAnsi="KoPubWorld바탕체_Pro Light" w:eastAsia="KoPubWorld바탕체_Pro Light" w:cs="KoPubWorld바탕체_Pro Light"/>
          <w:sz w:val="14"/>
          <w:vertAlign w:val="superscript"/>
        </w:rPr>
        <w:t>138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076 | 1909년 — 구 한국은행이 설립됐다. 1950년 현재의 한국은행과 전혀 다른 기관이다.</w:t>
      </w:r>
      <w:r>
        <w:rPr>
          <w:rFonts w:ascii="KoPubWorld바탕체_Pro Light" w:hAnsi="KoPubWorld바탕체_Pro Light" w:eastAsia="KoPubWorld바탕체_Pro Light" w:cs="KoPubWorld바탕체_Pro Light"/>
          <w:sz w:val="14"/>
          <w:vertAlign w:val="superscript"/>
        </w:rPr>
        <w:t>136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077 | 1911년 — 조선은행법이 식민지 발권은행의 법적 틀을 만들었다.</w:t>
      </w:r>
      <w:r>
        <w:rPr>
          <w:rFonts w:ascii="KoPubWorld바탕체_Pro Light" w:hAnsi="KoPubWorld바탕체_Pro Light" w:eastAsia="KoPubWorld바탕체_Pro Light" w:cs="KoPubWorld바탕체_Pro Light"/>
          <w:sz w:val="14"/>
          <w:vertAlign w:val="superscript"/>
        </w:rPr>
        <w:t>139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078 | 1928년 — 개정 은행령이 자본·준비금·공시·검사 요건을 정비했지만 식민지 목적 안에서 작동했다.</w:t>
      </w:r>
      <w:r>
        <w:rPr>
          <w:rFonts w:ascii="KoPubWorld바탕체_Pro Light" w:hAnsi="KoPubWorld바탕체_Pro Light" w:eastAsia="KoPubWorld바탕체_Pro Light" w:cs="KoPubWorld바탕체_Pro Light"/>
          <w:sz w:val="14"/>
          <w:vertAlign w:val="superscript"/>
        </w:rPr>
        <w:t>140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079 | 1937년 이후 — 조선은행권과 금융이 전쟁동원에 결합돼 통화팽창의 비용을 해방 뒤로 넘겼다.</w:t>
      </w:r>
      <w:r>
        <w:rPr>
          <w:rFonts w:ascii="KoPubWorld바탕체_Pro Light" w:hAnsi="KoPubWorld바탕체_Pro Light" w:eastAsia="KoPubWorld바탕체_Pro Light" w:cs="KoPubWorld바탕체_Pro Light"/>
          <w:sz w:val="14"/>
          <w:vertAlign w:val="superscript"/>
        </w:rPr>
        <w:t>141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080 | 1950년 5월 5일 — 한국은행법과 은행법이 중앙은행·상업은행 질서를 같은 날 법제화했다.</w:t>
      </w:r>
      <w:r>
        <w:rPr>
          <w:rFonts w:ascii="KoPubWorld바탕체_Pro Light" w:hAnsi="KoPubWorld바탕체_Pro Light" w:eastAsia="KoPubWorld바탕체_Pro Light" w:cs="KoPubWorld바탕체_Pro Light"/>
          <w:sz w:val="14"/>
          <w:vertAlign w:val="superscript"/>
        </w:rPr>
        <w:t>142</w:t>
      </w:r>
      <w:r>
        <w:rPr>
          <w:rFonts w:ascii="KoPubWorld바탕체_Pro Light" w:hAnsi="KoPubWorld바탕체_Pro Light" w:eastAsia="KoPubWorld바탕체_Pro Light" w:cs="KoPubWorld바탕체_Pro Light"/>
          <w:sz w:val="14"/>
          <w:vertAlign w:val="superscript"/>
        </w:rPr>
        <w:t>143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081 | 1950년 6월 12일 — 현재의 한국은행이 업무를 시작했다.</w:t>
      </w:r>
      <w:r>
        <w:rPr>
          <w:rFonts w:ascii="KoPubWorld바탕체_Pro Light" w:hAnsi="KoPubWorld바탕체_Pro Light" w:eastAsia="KoPubWorld바탕체_Pro Light" w:cs="KoPubWorld바탕체_Pro Light"/>
          <w:sz w:val="14"/>
          <w:vertAlign w:val="superscript"/>
        </w:rPr>
        <w:t>142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082 | 1954년 — 한국산업은행이 장기 산업자금을 공급하는 정책금융의 핵심축으로 출범했다.</w:t>
      </w:r>
      <w:r>
        <w:rPr>
          <w:rFonts w:ascii="KoPubWorld바탕체_Pro Light" w:hAnsi="KoPubWorld바탕체_Pro Light" w:eastAsia="KoPubWorld바탕체_Pro Light" w:cs="KoPubWorld바탕체_Pro Light"/>
          <w:sz w:val="14"/>
          <w:vertAlign w:val="superscript"/>
        </w:rPr>
        <w:t>147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083 | 1961년 6월 — 금융기관 임시조치법이 은행 주주의결권과 경영을 정부 통제 아래 두었다.</w:t>
      </w:r>
      <w:r>
        <w:rPr>
          <w:rFonts w:ascii="KoPubWorld바탕체_Pro Light" w:hAnsi="KoPubWorld바탕체_Pro Light" w:eastAsia="KoPubWorld바탕체_Pro Light" w:cs="KoPubWorld바탕체_Pro Light"/>
          <w:sz w:val="14"/>
          <w:vertAlign w:val="superscript"/>
        </w:rPr>
        <w:t>148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084 | 1962년 1·6월 — 이자제한법과 긴급통화조치가 사금융·퇴장자금과 통화단위를 국가가 직접 재설계하려 한 장면이었다.</w:t>
      </w:r>
      <w:r>
        <w:rPr>
          <w:rFonts w:ascii="KoPubWorld바탕체_Pro Light" w:hAnsi="KoPubWorld바탕체_Pro Light" w:eastAsia="KoPubWorld바탕체_Pro Light" w:cs="KoPubWorld바탕체_Pro Light"/>
          <w:sz w:val="14"/>
          <w:vertAlign w:val="superscript"/>
        </w:rPr>
        <w:t>149</w:t>
      </w:r>
      <w:r>
        <w:rPr>
          <w:rFonts w:ascii="KoPubWorld바탕체_Pro Light" w:hAnsi="KoPubWorld바탕체_Pro Light" w:eastAsia="KoPubWorld바탕체_Pro Light" w:cs="KoPubWorld바탕체_Pro Light"/>
          <w:sz w:val="14"/>
          <w:vertAlign w:val="superscript"/>
        </w:rPr>
        <w:t>146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085 | 1962년 5월 — 한국은행법 개정이 중앙은행 독립성보다 개발정책 조정을 앞세웠다.</w:t>
      </w:r>
      <w:r>
        <w:rPr>
          <w:rFonts w:ascii="KoPubWorld바탕체_Pro Light" w:hAnsi="KoPubWorld바탕체_Pro Light" w:eastAsia="KoPubWorld바탕체_Pro Light" w:cs="KoPubWorld바탕체_Pro Light"/>
          <w:sz w:val="14"/>
          <w:vertAlign w:val="superscript"/>
        </w:rPr>
        <w:t>144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086 | 1972년 8월 2-3일 — 8·3조치가 기업 사채를 동결·재조정해 유동성 위기의 비용을 채권자에게도 이전했다.</w:t>
      </w:r>
      <w:r>
        <w:rPr>
          <w:rFonts w:ascii="KoPubWorld바탕체_Pro Light" w:hAnsi="KoPubWorld바탕체_Pro Light" w:eastAsia="KoPubWorld바탕체_Pro Light" w:cs="KoPubWorld바탕체_Pro Light"/>
          <w:sz w:val="14"/>
          <w:vertAlign w:val="superscript"/>
        </w:rPr>
        <w:t>151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087 | 1982년 — 금융실명거래 법률이 제정됐지만 핵심 시행이 유예돼 법과 현실의 시간차를 남겼다.</w:t>
      </w:r>
      <w:r>
        <w:rPr>
          <w:rFonts w:ascii="KoPubWorld바탕체_Pro Light" w:hAnsi="KoPubWorld바탕체_Pro Light" w:eastAsia="KoPubWorld바탕체_Pro Light" w:cs="KoPubWorld바탕체_Pro Light"/>
          <w:sz w:val="14"/>
          <w:vertAlign w:val="superscript"/>
        </w:rPr>
        <w:t>152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088 | 1991년 — 단계적 금리자유화가 행정가격에서 시장금리·위험심사로 이동을 시작했다.</w:t>
      </w:r>
      <w:r>
        <w:rPr>
          <w:rFonts w:ascii="KoPubWorld바탕체_Pro Light" w:hAnsi="KoPubWorld바탕체_Pro Light" w:eastAsia="KoPubWorld바탕체_Pro Light" w:cs="KoPubWorld바탕체_Pro Light"/>
          <w:sz w:val="14"/>
          <w:vertAlign w:val="superscript"/>
        </w:rPr>
        <w:t>154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089 | 1993년 8월 12일 — 긴급명령에 따른 금융실명제가 즉시 시행돼 차명·익명 거래의 제도적 공간을 줄였다.</w:t>
      </w:r>
      <w:r>
        <w:rPr>
          <w:rFonts w:ascii="KoPubWorld바탕체_Pro Light" w:hAnsi="KoPubWorld바탕체_Pro Light" w:eastAsia="KoPubWorld바탕체_Pro Light" w:cs="KoPubWorld바탕체_Pro Light"/>
          <w:sz w:val="14"/>
          <w:vertAlign w:val="superscript"/>
        </w:rPr>
        <w:t>153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090 | 1995-1997년 — 예금자보호법 제정, 예보 설립과 보험업무 개시가 은행실패 안전망을 만들었다.</w:t>
      </w:r>
      <w:r>
        <w:rPr>
          <w:rFonts w:ascii="KoPubWorld바탕체_Pro Light" w:hAnsi="KoPubWorld바탕체_Pro Light" w:eastAsia="KoPubWorld바탕체_Pro Light" w:cs="KoPubWorld바탕체_Pro Light"/>
          <w:sz w:val="14"/>
          <w:vertAlign w:val="superscript"/>
        </w:rPr>
        <w:t>160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091 | 1997년 11월 19일 — 한시 예금 전액보호가 런을 막는 대신 공적 손실부담의 경계를 넓혔다.</w:t>
      </w:r>
      <w:r>
        <w:rPr>
          <w:rFonts w:ascii="KoPubWorld바탕체_Pro Light" w:hAnsi="KoPubWorld바탕체_Pro Light" w:eastAsia="KoPubWorld바탕체_Pro Light" w:cs="KoPubWorld바탕체_Pro Light"/>
          <w:sz w:val="14"/>
          <w:vertAlign w:val="superscript"/>
        </w:rPr>
        <w:t>161</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092 | 1997년 11월 21일 — 정부의 IMF 지원 요청이 금융회사 차환위기를 국가 외화유동성 위기로 공식화했다.</w:t>
      </w:r>
      <w:r>
        <w:rPr>
          <w:rFonts w:ascii="KoPubWorld바탕체_Pro Light" w:hAnsi="KoPubWorld바탕체_Pro Light" w:eastAsia="KoPubWorld바탕체_Pro Light" w:cs="KoPubWorld바탕체_Pro Light"/>
          <w:sz w:val="14"/>
          <w:vertAlign w:val="superscript"/>
        </w:rPr>
        <w:t>156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093 | 1997-1998년 — 개정 한국은행법과 통합감독 법률이 중앙은행 독립·물가안정과 감독체계를 다시 짰다.</w:t>
      </w:r>
      <w:r>
        <w:rPr>
          <w:rFonts w:ascii="KoPubWorld바탕체_Pro Light" w:hAnsi="KoPubWorld바탕체_Pro Light" w:eastAsia="KoPubWorld바탕체_Pro Light" w:cs="KoPubWorld바탕체_Pro Light"/>
          <w:sz w:val="14"/>
          <w:vertAlign w:val="superscript"/>
        </w:rPr>
        <w:t>163</w:t>
      </w:r>
      <w:r>
        <w:rPr>
          <w:rFonts w:ascii="KoPubWorld바탕체_Pro Light" w:hAnsi="KoPubWorld바탕체_Pro Light" w:eastAsia="KoPubWorld바탕체_Pro Light" w:cs="KoPubWorld바탕체_Pro Light"/>
          <w:sz w:val="14"/>
          <w:vertAlign w:val="superscript"/>
        </w:rPr>
        <w:t>162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094 | 1999년 1월 1일 — 금융감독원이 은행·증권·보험·비은행 감독기관을 통합해 출범했다.</w:t>
      </w:r>
      <w:r>
        <w:rPr>
          <w:rFonts w:ascii="KoPubWorld바탕체_Pro Light" w:hAnsi="KoPubWorld바탕체_Pro Light" w:eastAsia="KoPubWorld바탕체_Pro Light" w:cs="KoPubWorld바탕체_Pro Light"/>
          <w:sz w:val="14"/>
          <w:vertAlign w:val="superscript"/>
        </w:rPr>
        <w:t>162</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095 | 2000년 — 금융지주회사법이 그룹 결합을 허용하면서 내부거래·연결위험을 규율했다.</w:t>
      </w:r>
      <w:r>
        <w:rPr>
          <w:rFonts w:ascii="KoPubWorld바탕체_Pro Light" w:hAnsi="KoPubWorld바탕체_Pro Light" w:eastAsia="KoPubWorld바탕체_Pro Light" w:cs="KoPubWorld바탕체_Pro Light"/>
          <w:sz w:val="14"/>
          <w:vertAlign w:val="superscript"/>
        </w:rPr>
        <w:t>166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096 | 2002-2005년 — LTV·DTI 도입과 2003년 카드사태가 담보·소득·비은행 조달을 가계신용 안정의 문제로 만들었다.</w:t>
      </w:r>
      <w:r>
        <w:rPr>
          <w:rFonts w:ascii="KoPubWorld바탕체_Pro Light" w:hAnsi="KoPubWorld바탕체_Pro Light" w:eastAsia="KoPubWorld바탕체_Pro Light" w:cs="KoPubWorld바탕체_Pro Light"/>
          <w:sz w:val="14"/>
          <w:vertAlign w:val="superscript"/>
        </w:rPr>
        <w:t>171</w:t>
      </w:r>
      <w:r>
        <w:rPr>
          <w:rFonts w:ascii="KoPubWorld바탕체_Pro Light" w:hAnsi="KoPubWorld바탕체_Pro Light" w:eastAsia="KoPubWorld바탕체_Pro Light" w:cs="KoPubWorld바탕체_Pro Light"/>
          <w:sz w:val="14"/>
          <w:vertAlign w:val="superscript"/>
        </w:rPr>
        <w:t>169</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097 | 2006-2008년 — 전자금융거래법과 현재의 금융위원회 출범이 네트워크 금융과 정책·감독의 새 구조를 만들었다.</w:t>
      </w:r>
      <w:r>
        <w:rPr>
          <w:rFonts w:ascii="KoPubWorld바탕체_Pro Light" w:hAnsi="KoPubWorld바탕체_Pro Light" w:eastAsia="KoPubWorld바탕체_Pro Light" w:cs="KoPubWorld바탕체_Pro Light"/>
          <w:sz w:val="14"/>
          <w:vertAlign w:val="superscript"/>
        </w:rPr>
        <w:t>179</w:t>
      </w:r>
      <w:r>
        <w:rPr>
          <w:rFonts w:ascii="KoPubWorld바탕체_Pro Light" w:hAnsi="KoPubWorld바탕체_Pro Light" w:eastAsia="KoPubWorld바탕체_Pro Light" w:cs="KoPubWorld바탕체_Pro Light"/>
          <w:sz w:val="14"/>
          <w:vertAlign w:val="superscript"/>
        </w:rPr>
        <w:t>167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098 | 2015-2019년 — 인터넷전문은행, DSR, 규제샌드박스와 오픈뱅킹이 앱·데이터 기반 금융을 제도권 인프라에 연결했다.</w:t>
      </w:r>
      <w:r>
        <w:rPr>
          <w:rFonts w:ascii="KoPubWorld바탕체_Pro Light" w:hAnsi="KoPubWorld바탕체_Pro Light" w:eastAsia="KoPubWorld바탕체_Pro Light" w:cs="KoPubWorld바탕체_Pro Light"/>
          <w:sz w:val="14"/>
          <w:vertAlign w:val="superscript"/>
        </w:rPr>
        <w:t>180</w:t>
      </w:r>
      <w:r>
        <w:rPr>
          <w:rFonts w:ascii="KoPubWorld바탕체_Pro Light" w:hAnsi="KoPubWorld바탕체_Pro Light" w:eastAsia="KoPubWorld바탕체_Pro Light" w:cs="KoPubWorld바탕체_Pro Light"/>
          <w:sz w:val="14"/>
          <w:vertAlign w:val="superscript"/>
        </w:rPr>
        <w:t>173</w:t>
      </w:r>
      <w:r>
        <w:rPr>
          <w:rFonts w:ascii="KoPubWorld바탕체_Pro Light" w:hAnsi="KoPubWorld바탕체_Pro Light" w:eastAsia="KoPubWorld바탕체_Pro Light" w:cs="KoPubWorld바탕체_Pro Light"/>
          <w:sz w:val="14"/>
          <w:vertAlign w:val="superscript"/>
        </w:rPr>
        <w:t>184</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099 | 2020-2021년 — 금융소비자보호법, 마이데이터·자동화평가 권리와 가상자산사업자 AML 신고제가 판매·데이터·코인의 규제축을 세웠다.</w:t>
      </w:r>
      <w:r>
        <w:rPr>
          <w:rFonts w:ascii="KoPubWorld바탕체_Pro Light" w:hAnsi="KoPubWorld바탕체_Pro Light" w:eastAsia="KoPubWorld바탕체_Pro Light" w:cs="KoPubWorld바탕체_Pro Light"/>
          <w:sz w:val="14"/>
          <w:vertAlign w:val="superscript"/>
        </w:rPr>
        <w:t>174</w:t>
      </w:r>
      <w:r>
        <w:rPr>
          <w:rFonts w:ascii="KoPubWorld바탕체_Pro Light" w:hAnsi="KoPubWorld바탕체_Pro Light" w:eastAsia="KoPubWorld바탕체_Pro Light" w:cs="KoPubWorld바탕체_Pro Light"/>
          <w:sz w:val="14"/>
          <w:vertAlign w:val="superscript"/>
        </w:rPr>
        <w:t>185</w:t>
      </w:r>
      <w:r>
        <w:rPr>
          <w:rFonts w:ascii="KoPubWorld바탕체_Pro Light" w:hAnsi="KoPubWorld바탕체_Pro Light" w:eastAsia="KoPubWorld바탕체_Pro Light" w:cs="KoPubWorld바탕체_Pro Light"/>
          <w:sz w:val="14"/>
          <w:vertAlign w:val="superscript"/>
        </w:rPr>
        <w:t>190</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100 | 2023-2026년 — 가상자산 이용자보호법 시행, 예금보호 1억 원 상향, AI 기본법 시행과 프로젝트 한강 실험이 이어졌다. 2026년 7월 14일 현재 가상자산 2단계 기본법과 원화 스테이블코인 세부법제는 아직 확정·시행된 법이 아니다.</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4"/>
          <w:vertAlign w:val="superscript"/>
        </w:rPr>
        <w:t>165</w:t>
      </w:r>
      <w:r>
        <w:rPr>
          <w:rFonts w:ascii="KoPubWorld바탕체_Pro Light" w:hAnsi="KoPubWorld바탕체_Pro Light" w:eastAsia="KoPubWorld바탕체_Pro Light" w:cs="KoPubWorld바탕체_Pro Light"/>
          <w:sz w:val="14"/>
          <w:vertAlign w:val="superscript"/>
        </w:rPr>
        <w:t>214</w:t>
      </w:r>
      <w:r>
        <w:rPr>
          <w:rFonts w:ascii="KoPubWorld바탕체_Pro Light" w:hAnsi="KoPubWorld바탕체_Pro Light" w:eastAsia="KoPubWorld바탕체_Pro Light" w:cs="KoPubWorld바탕체_Pro Light"/>
          <w:sz w:val="14"/>
          <w:vertAlign w:val="superscript"/>
        </w:rPr>
        <w:t>192</w:t>
      </w:r>
    </w:p>
    <w:p>
      <w:pPr>
        <w:pStyle w:val="aff3"/>
        <w:spacing w:line="259" w:lineRule="auto"/>
      </w:pPr>
      <w:r>
        <w:rPr>
          <w:rFonts w:ascii="KoPubWorld바탕체_Pro Light" w:hAnsi="KoPubWorld바탕체_Pro Light" w:eastAsia="KoPubWorld바탕체_Pro Light" w:cs="KoPubWorld바탕체_Pro Light"/>
          <w:sz w:val="16"/>
        </w:rPr>
        <w:t>100개의 순간을 관통하는 것은 ‘규제가 늘었다’는 사실이 아니다. 시장을 열 때는 진입·공시·손실흡수 장치가 생겼고, 위기 때는 유동성과 지급을 지키는 장치가 생겼으며, 실패 뒤에는 다음번 손실부담 순서를 미리 쓰려는 시도가 이어졌다. 역사는 반복되지만 전달경로는 바뀐다.</w:t>
      </w:r>
    </w:p>
    <w:p>
      <w:r>
        <w:br w:type="page"/>
      </w:r>
    </w:p>
    <w:p>
      <w:pPr>
        <w:spacing w:before="360" w:after="0"/>
      </w:pPr>
    </w:p>
    <w:p>
      <w:pPr>
        <w:pStyle w:val="aff1"/>
        <w:jc w:val="center"/>
      </w:pPr>
      <w:r>
        <w:rPr>
          <w:rFonts w:ascii="KoPubWorld바탕체_Pro Bold" w:hAnsi="KoPubWorld바탕체_Pro Bold" w:eastAsia="KoPubWorld바탕체_Pro Bold" w:cs="KoPubWorld바탕체_Pro Bold"/>
          <w:b/>
          <w:sz w:val="28"/>
        </w:rPr>
        <w:t>부록 7. 더 읽을거리와 사료 안내</w:t>
      </w:r>
    </w:p>
    <w:p>
      <w:pPr>
        <w:spacing w:before="100" w:after="0"/>
      </w:pPr>
    </w:p>
    <w:p>
      <w:pPr>
        <w:pStyle w:val="aff3"/>
        <w:spacing w:line="259" w:lineRule="auto"/>
      </w:pPr>
      <w:r>
        <w:rPr>
          <w:rFonts w:ascii="KoPubWorld바탕체_Pro Light" w:hAnsi="KoPubWorld바탕체_Pro Light" w:eastAsia="KoPubWorld바탕체_Pro Light" w:cs="KoPubWorld바탕체_Pro Light"/>
          <w:sz w:val="16"/>
        </w:rPr>
        <w:t>금융규제사는 법률명만 나열하면 제도가 왜 생겼는지 사라지고, 위기 이야기만 읽으면 실제 권한과 시행일이 흐려진다. 가장 좋은 읽기 순서는 사건의 장면 → 당시 법령·기관 문서 → 위기 뒤 평가보고서 → 현재 시행본이다. 이 부록은 본문을 검증하거나 더 깊이 읽을 때 필요한 사료의 종류와 사용원칙을 정리한다.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목적에 따라 고르는 일곱 갈래</w:t>
      </w:r>
    </w:p>
    <w:p>
      <w:pPr>
        <w:spacing w:before="40" w:after="0"/>
      </w:pPr>
    </w:p>
    <w:p>
      <w:pPr>
        <w:pStyle w:val="a"/>
        <w:spacing w:after="40" w:line="254" w:lineRule="auto"/>
        <w:ind w:left="360" w:hanging="202"/>
      </w:pPr>
      <w:r>
        <w:rPr>
          <w:rFonts w:ascii="KoPubWorld바탕체_Pro Light" w:hAnsi="KoPubWorld바탕체_Pro Light" w:eastAsia="KoPubWorld바탕체_Pro Light" w:cs="KoPubWorld바탕체_Pro Light"/>
          <w:sz w:val="16"/>
        </w:rPr>
        <w:t>최종대부자와 중앙은행 — 1866년 오버렌드 거니 자료, 배저트의 「롬바드 스트리트」, 영란은행·연준·한국은행의 공식 역사와 법령을 함께 읽는다. 고전의 처방과 오늘의 법적 권한은 같지 않다.</w:t>
      </w:r>
      <w:r>
        <w:rPr>
          <w:rFonts w:ascii="KoPubWorld바탕체_Pro Light" w:hAnsi="KoPubWorld바탕체_Pro Light" w:eastAsia="KoPubWorld바탕체_Pro Light" w:cs="KoPubWorld바탕체_Pro Light"/>
          <w:sz w:val="14"/>
          <w:vertAlign w:val="superscript"/>
        </w:rPr>
        <w:t>20</w:t>
      </w:r>
      <w:r>
        <w:rPr>
          <w:rFonts w:ascii="KoPubWorld바탕체_Pro Light" w:hAnsi="KoPubWorld바탕체_Pro Light" w:eastAsia="KoPubWorld바탕체_Pro Light" w:cs="KoPubWorld바탕체_Pro Light"/>
          <w:sz w:val="14"/>
          <w:vertAlign w:val="superscript"/>
        </w:rPr>
        <w:t>34</w:t>
      </w:r>
      <w:r>
        <w:rPr>
          <w:rFonts w:ascii="KoPubWorld바탕체_Pro Light" w:hAnsi="KoPubWorld바탕체_Pro Light" w:eastAsia="KoPubWorld바탕체_Pro Light" w:cs="KoPubWorld바탕체_Pro Light"/>
          <w:sz w:val="14"/>
          <w:vertAlign w:val="superscript"/>
        </w:rPr>
        <w:t>142</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증권공시와 시장감시 — 미국 1933·1934년 법률 원문, 페코라 조사 기록, 한국 자본시장 법령과 거래소의 상장·시장감시 규정을 이어 읽는다. 공시는 투자수익 보증이 아니라 허위·누락의 책임과 비교가능성을 만드는 장치다.</w:t>
      </w:r>
      <w:r>
        <w:rPr>
          <w:rFonts w:ascii="KoPubWorld바탕체_Pro Light" w:hAnsi="KoPubWorld바탕체_Pro Light" w:eastAsia="KoPubWorld바탕체_Pro Light" w:cs="KoPubWorld바탕체_Pro Light"/>
          <w:sz w:val="14"/>
          <w:vertAlign w:val="superscript"/>
        </w:rPr>
        <w:t>51</w:t>
      </w:r>
      <w:r>
        <w:rPr>
          <w:rFonts w:ascii="KoPubWorld바탕체_Pro Light" w:hAnsi="KoPubWorld바탕체_Pro Light" w:eastAsia="KoPubWorld바탕체_Pro Light" w:cs="KoPubWorld바탕체_Pro Light"/>
          <w:sz w:val="14"/>
          <w:vertAlign w:val="superscript"/>
        </w:rPr>
        <w:t>52</w:t>
      </w:r>
      <w:r>
        <w:rPr>
          <w:rFonts w:ascii="KoPubWorld바탕체_Pro Light" w:hAnsi="KoPubWorld바탕체_Pro Light" w:eastAsia="KoPubWorld바탕체_Pro Light" w:cs="KoPubWorld바탕체_Pro Light"/>
          <w:sz w:val="14"/>
          <w:vertAlign w:val="superscript"/>
        </w:rPr>
        <w:t>53</w:t>
      </w:r>
      <w:r>
        <w:rPr>
          <w:rFonts w:ascii="KoPubWorld바탕체_Pro Light" w:hAnsi="KoPubWorld바탕체_Pro Light" w:eastAsia="KoPubWorld바탕체_Pro Light" w:cs="KoPubWorld바탕체_Pro Light"/>
          <w:sz w:val="14"/>
          <w:vertAlign w:val="superscript"/>
        </w:rPr>
        <w:t>231</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국제 건전성 기준 — 바젤 I, II, III와 2017년 최종 개혁, 2024년 핵심원칙을 발표순서대로 비교한다. 공식 문서가 ‘표준’인지 ‘지침’인지, 적용대상이 국제영업 은행인지 모든 은행인지, 국내 이행일이 언제인지 적어 둔다.</w:t>
      </w:r>
      <w:r>
        <w:rPr>
          <w:rFonts w:ascii="KoPubWorld바탕체_Pro Light" w:hAnsi="KoPubWorld바탕체_Pro Light" w:eastAsia="KoPubWorld바탕체_Pro Light" w:cs="KoPubWorld바탕체_Pro Light"/>
          <w:sz w:val="14"/>
          <w:vertAlign w:val="superscript"/>
        </w:rPr>
        <w:t>75</w:t>
      </w:r>
      <w:r>
        <w:rPr>
          <w:rFonts w:ascii="KoPubWorld바탕체_Pro Light" w:hAnsi="KoPubWorld바탕체_Pro Light" w:eastAsia="KoPubWorld바탕체_Pro Light" w:cs="KoPubWorld바탕체_Pro Light"/>
          <w:sz w:val="14"/>
          <w:vertAlign w:val="superscript"/>
        </w:rPr>
        <w:t>90</w:t>
      </w:r>
      <w:r>
        <w:rPr>
          <w:rFonts w:ascii="KoPubWorld바탕체_Pro Light" w:hAnsi="KoPubWorld바탕체_Pro Light" w:eastAsia="KoPubWorld바탕체_Pro Light" w:cs="KoPubWorld바탕체_Pro Light"/>
          <w:sz w:val="14"/>
          <w:vertAlign w:val="superscript"/>
        </w:rPr>
        <w:t>124</w:t>
      </w:r>
      <w:r>
        <w:rPr>
          <w:rFonts w:ascii="KoPubWorld바탕체_Pro Light" w:hAnsi="KoPubWorld바탕체_Pro Light" w:eastAsia="KoPubWorld바탕체_Pro Light" w:cs="KoPubWorld바탕체_Pro Light"/>
          <w:sz w:val="14"/>
          <w:vertAlign w:val="superscript"/>
        </w:rPr>
        <w:t>220</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위기·정리와 손실배분 — 위기 직전 자료보다 사후 공식평가, 지원수단의 법적 근거와 정리결과를 함께 본다. 미국 금융위기조사위원회 보고서, FSB 핵심속성, 2023년 은행불안에 대한 연준·바젤·FINMA 보고서는 서로 다른 층을 보여 준다.</w:t>
      </w:r>
      <w:r>
        <w:rPr>
          <w:rFonts w:ascii="KoPubWorld바탕체_Pro Light" w:hAnsi="KoPubWorld바탕체_Pro Light" w:eastAsia="KoPubWorld바탕체_Pro Light" w:cs="KoPubWorld바탕체_Pro Light"/>
          <w:sz w:val="14"/>
          <w:vertAlign w:val="superscript"/>
        </w:rPr>
        <w:t>98</w:t>
      </w:r>
      <w:r>
        <w:rPr>
          <w:rFonts w:ascii="KoPubWorld바탕체_Pro Light" w:hAnsi="KoPubWorld바탕체_Pro Light" w:eastAsia="KoPubWorld바탕체_Pro Light" w:cs="KoPubWorld바탕체_Pro Light"/>
          <w:sz w:val="14"/>
          <w:vertAlign w:val="superscript"/>
        </w:rPr>
        <w:t>122</w:t>
      </w:r>
      <w:r>
        <w:rPr>
          <w:rFonts w:ascii="KoPubWorld바탕체_Pro Light" w:hAnsi="KoPubWorld바탕체_Pro Light" w:eastAsia="KoPubWorld바탕체_Pro Light" w:cs="KoPubWorld바탕체_Pro Light"/>
          <w:sz w:val="14"/>
          <w:vertAlign w:val="superscript"/>
        </w:rPr>
        <w:t>126</w:t>
      </w:r>
      <w:r>
        <w:rPr>
          <w:rFonts w:ascii="KoPubWorld바탕체_Pro Light" w:hAnsi="KoPubWorld바탕체_Pro Light" w:eastAsia="KoPubWorld바탕체_Pro Light" w:cs="KoPubWorld바탕체_Pro Light"/>
          <w:sz w:val="14"/>
          <w:vertAlign w:val="superscript"/>
        </w:rPr>
        <w:t>128</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한국 금융의 제도사 — 한국은행 디지털아카이브·화폐박물관, 국가기록원·국사편찬위원회, 국가법령정보센터를 기본 축으로 삼는다. 동일한 ‘한국은행’ 명칭, 법 제정일과 업무개시일, 긴급명령의 발표일 같은 날짜를 교차확인한다.</w:t>
      </w:r>
      <w:r>
        <w:rPr>
          <w:rFonts w:ascii="KoPubWorld바탕체_Pro Light" w:hAnsi="KoPubWorld바탕체_Pro Light" w:eastAsia="KoPubWorld바탕체_Pro Light" w:cs="KoPubWorld바탕체_Pro Light"/>
          <w:sz w:val="14"/>
          <w:vertAlign w:val="superscript"/>
        </w:rPr>
        <w:t>222</w:t>
      </w:r>
      <w:r>
        <w:rPr>
          <w:rFonts w:ascii="KoPubWorld바탕체_Pro Light" w:hAnsi="KoPubWorld바탕체_Pro Light" w:eastAsia="KoPubWorld바탕체_Pro Light" w:cs="KoPubWorld바탕체_Pro Light"/>
          <w:sz w:val="14"/>
          <w:vertAlign w:val="superscript"/>
        </w:rPr>
        <w:t>136</w:t>
      </w:r>
      <w:r>
        <w:rPr>
          <w:rFonts w:ascii="KoPubWorld바탕체_Pro Light" w:hAnsi="KoPubWorld바탕체_Pro Light" w:eastAsia="KoPubWorld바탕체_Pro Light" w:cs="KoPubWorld바탕체_Pro Light"/>
          <w:sz w:val="14"/>
          <w:vertAlign w:val="superscript"/>
        </w:rPr>
        <w:t>142</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금융소비자·데이터·AI — 법률 본문에서 적용 상품, 판매유형, 자동화 정도, 예외와 권리행사 기간을 먼저 확인한다. 보도자료의 ‘권리 확대’ 요약만으로 모든 거래에 적용된다고 단정하지 않는다.</w:t>
      </w:r>
      <w:r>
        <w:rPr>
          <w:rFonts w:ascii="KoPubWorld바탕체_Pro Light" w:hAnsi="KoPubWorld바탕체_Pro Light" w:eastAsia="KoPubWorld바탕체_Pro Light" w:cs="KoPubWorld바탕체_Pro Light"/>
          <w:sz w:val="14"/>
          <w:vertAlign w:val="superscript"/>
        </w:rPr>
        <w:t>174</w:t>
      </w:r>
      <w:r>
        <w:rPr>
          <w:rFonts w:ascii="KoPubWorld바탕체_Pro Light" w:hAnsi="KoPubWorld바탕체_Pro Light" w:eastAsia="KoPubWorld바탕체_Pro Light" w:cs="KoPubWorld바탕체_Pro Light"/>
          <w:sz w:val="14"/>
          <w:vertAlign w:val="superscript"/>
        </w:rPr>
        <w:t>186</w:t>
      </w:r>
      <w:r>
        <w:rPr>
          <w:rFonts w:ascii="KoPubWorld바탕체_Pro Light" w:hAnsi="KoPubWorld바탕체_Pro Light" w:eastAsia="KoPubWorld바탕체_Pro Light" w:cs="KoPubWorld바탕체_Pro Light"/>
          <w:sz w:val="14"/>
          <w:vertAlign w:val="superscript"/>
        </w:rPr>
        <w:t>212</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가상자산·스테이블코인·CBDC — AML 신고, 이용자자산 보호, 발행·공시, 지급수단과 중앙은행화폐를 서로 다른 층으로 나눈다. 시행법, 시범사업과 정부 검토안을 한 연표에 놓되 상태표시를 달리한다.</w:t>
      </w:r>
      <w:r>
        <w:rPr>
          <w:rFonts w:ascii="KoPubWorld바탕체_Pro Light" w:hAnsi="KoPubWorld바탕체_Pro Light" w:eastAsia="KoPubWorld바탕체_Pro Light" w:cs="KoPubWorld바탕체_Pro Light"/>
          <w:sz w:val="14"/>
          <w:vertAlign w:val="superscript"/>
        </w:rPr>
        <w:t>190</w:t>
      </w:r>
      <w:r>
        <w:rPr>
          <w:rFonts w:ascii="KoPubWorld바탕체_Pro Light" w:hAnsi="KoPubWorld바탕체_Pro Light" w:eastAsia="KoPubWorld바탕체_Pro Light" w:cs="KoPubWorld바탕체_Pro Light"/>
          <w:sz w:val="14"/>
          <w:vertAlign w:val="superscript"/>
        </w:rPr>
        <w:t>187</w:t>
      </w:r>
      <w:r>
        <w:rPr>
          <w:rFonts w:ascii="KoPubWorld바탕체_Pro Light" w:hAnsi="KoPubWorld바탕체_Pro Light" w:eastAsia="KoPubWorld바탕체_Pro Light" w:cs="KoPubWorld바탕체_Pro Light"/>
          <w:sz w:val="14"/>
          <w:vertAlign w:val="superscript"/>
        </w:rPr>
        <w:t>199</w:t>
      </w:r>
      <w:r>
        <w:rPr>
          <w:rFonts w:ascii="KoPubWorld바탕체_Pro Light" w:hAnsi="KoPubWorld바탕체_Pro Light" w:eastAsia="KoPubWorld바탕체_Pro Light" w:cs="KoPubWorld바탕체_Pro Light"/>
          <w:sz w:val="14"/>
          <w:vertAlign w:val="superscript"/>
        </w:rPr>
        <w:t>192</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세계사 1차자료와 공식 평가</w:t>
      </w:r>
    </w:p>
    <w:p>
      <w:pPr>
        <w:spacing w:before="40" w:after="0"/>
      </w:pPr>
    </w:p>
    <w:p>
      <w:pPr>
        <w:spacing w:before="120" w:after="0"/>
      </w:pPr>
    </w:p>
    <w:p>
      <w:pPr>
        <w:pStyle w:val="aff4"/>
        <w:keepNext/>
        <w:jc w:val="left"/>
      </w:pPr>
      <w:r>
        <w:rPr>
          <w:rFonts w:ascii="Noto Sans CJK KR" w:hAnsi="Noto Sans CJK KR" w:eastAsia="Noto Sans CJK KR" w:cs="Noto Sans CJK KR"/>
          <w:b/>
          <w:sz w:val="20"/>
        </w:rPr>
        <w:t>법률·협정 원문</w:t>
      </w:r>
    </w:p>
    <w:p>
      <w:pPr>
        <w:pStyle w:val="aff3"/>
        <w:spacing w:line="259" w:lineRule="auto"/>
      </w:pPr>
      <w:r>
        <w:rPr>
          <w:rFonts w:ascii="KoPubWorld바탕체_Pro Light" w:hAnsi="KoPubWorld바탕체_Pro Light" w:eastAsia="KoPubWorld바탕체_Pro Light" w:cs="KoPubWorld바탕체_Pro Light"/>
          <w:sz w:val="16"/>
        </w:rPr>
        <w:t>영국 법령은 legislation.gov.uk와 의회기록, 미국 연방법은 Congress.gov·GovInfo, EU 규정은 EUR-Lex의 관보본을 우선한다. 개정법은 현재 통합본만 읽지 말고 사건 당시 공포본과 시행조항을 함께 본다. 국제통화제도는 IMF 협정문과 Article VI, 브레턴우즈 회의의 공식 역사자료가 기준이다.</w:t>
      </w:r>
      <w:r>
        <w:rPr>
          <w:rFonts w:ascii="KoPubWorld바탕체_Pro Light" w:hAnsi="KoPubWorld바탕체_Pro Light" w:eastAsia="KoPubWorld바탕체_Pro Light" w:cs="KoPubWorld바탕체_Pro Light"/>
          <w:sz w:val="14"/>
          <w:vertAlign w:val="superscript"/>
        </w:rPr>
        <w:t>32</w:t>
      </w:r>
      <w:r>
        <w:rPr>
          <w:rFonts w:ascii="KoPubWorld바탕체_Pro Light" w:hAnsi="KoPubWorld바탕체_Pro Light" w:eastAsia="KoPubWorld바탕체_Pro Light" w:cs="KoPubWorld바탕체_Pro Light"/>
          <w:sz w:val="14"/>
          <w:vertAlign w:val="superscript"/>
        </w:rPr>
        <w:t>40</w:t>
      </w:r>
      <w:r>
        <w:rPr>
          <w:rFonts w:ascii="KoPubWorld바탕체_Pro Light" w:hAnsi="KoPubWorld바탕체_Pro Light" w:eastAsia="KoPubWorld바탕체_Pro Light" w:cs="KoPubWorld바탕체_Pro Light"/>
          <w:sz w:val="14"/>
          <w:vertAlign w:val="superscript"/>
        </w:rPr>
        <w:t>56</w:t>
      </w:r>
      <w:r>
        <w:rPr>
          <w:rFonts w:ascii="KoPubWorld바탕체_Pro Light" w:hAnsi="KoPubWorld바탕체_Pro Light" w:eastAsia="KoPubWorld바탕체_Pro Light" w:cs="KoPubWorld바탕체_Pro Light"/>
          <w:sz w:val="14"/>
          <w:vertAlign w:val="superscript"/>
        </w:rPr>
        <w:t>195</w:t>
      </w:r>
    </w:p>
    <w:p>
      <w:pPr>
        <w:pStyle w:val="aff3"/>
        <w:spacing w:line="259" w:lineRule="auto"/>
      </w:pPr>
      <w:r>
        <w:rPr>
          <w:rFonts w:ascii="KoPubWorld바탕체_Pro Light" w:hAnsi="KoPubWorld바탕체_Pro Light" w:eastAsia="KoPubWorld바탕체_Pro Light" w:cs="KoPubWorld바탕체_Pro Light"/>
          <w:sz w:val="16"/>
        </w:rPr>
        <w:t>법률 제목이 관용어와 다를 때가 있다. ‘글래스-스티걸법’은 1933년 은행법 전체를 뜻하는 표현으로 남용되지만 역사적으로는 상업은행·증권업 분리와 관련된 일부 조항을 가리킨다. ‘바젤 IV’ 역시 공식 기준명이 아니다. 법률·기준의 자체 표제를 먼저 쓰고 통칭은 괄호로 설명하는 것이 안전하다.</w:t>
      </w:r>
    </w:p>
    <w:p>
      <w:pPr>
        <w:spacing w:before="120" w:after="0"/>
      </w:pPr>
    </w:p>
    <w:p>
      <w:pPr>
        <w:pStyle w:val="aff4"/>
        <w:keepNext/>
        <w:jc w:val="left"/>
      </w:pPr>
      <w:r>
        <w:rPr>
          <w:rFonts w:ascii="Noto Sans CJK KR" w:hAnsi="Noto Sans CJK KR" w:eastAsia="Noto Sans CJK KR" w:cs="Noto Sans CJK KR"/>
          <w:b/>
          <w:sz w:val="20"/>
        </w:rPr>
        <w:t>중앙은행·감독기관의 역사자료</w:t>
      </w:r>
    </w:p>
    <w:p>
      <w:pPr>
        <w:pStyle w:val="aff3"/>
        <w:spacing w:line="259" w:lineRule="auto"/>
      </w:pPr>
      <w:r>
        <w:rPr>
          <w:rFonts w:ascii="KoPubWorld바탕체_Pro Light" w:hAnsi="KoPubWorld바탕체_Pro Light" w:eastAsia="KoPubWorld바탕체_Pro Light" w:cs="KoPubWorld바탕체_Pro Light"/>
          <w:sz w:val="16"/>
        </w:rPr>
        <w:t>영란은행, 연준 역사, FDIC, SEC, BIS·바젤위원회 자료는 기관이 보유한 기록과 제도연혁을 찾는 첫 관문이다. 다만 기관의 자기서술은 권한·성과를 설명하는 관점이므로 의회 조사, 독립평가와 당시 법률로 맞춰 본다. 한 기관 자료만으로 원인과 책임을 단정하지 않는다.</w:t>
      </w:r>
      <w:r>
        <w:rPr>
          <w:rFonts w:ascii="KoPubWorld바탕체_Pro Light" w:hAnsi="KoPubWorld바탕체_Pro Light" w:eastAsia="KoPubWorld바탕체_Pro Light" w:cs="KoPubWorld바탕체_Pro Light"/>
          <w:sz w:val="14"/>
          <w:vertAlign w:val="superscript"/>
        </w:rPr>
        <w:t>33</w:t>
      </w:r>
      <w:r>
        <w:rPr>
          <w:rFonts w:ascii="KoPubWorld바탕체_Pro Light" w:hAnsi="KoPubWorld바탕체_Pro Light" w:eastAsia="KoPubWorld바탕체_Pro Light" w:cs="KoPubWorld바탕체_Pro Light"/>
          <w:sz w:val="14"/>
          <w:vertAlign w:val="superscript"/>
        </w:rPr>
        <w:t>44</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4"/>
          <w:vertAlign w:val="superscript"/>
        </w:rPr>
        <w:t>76</w:t>
      </w:r>
    </w:p>
    <w:p>
      <w:pPr>
        <w:spacing w:before="120" w:after="0"/>
      </w:pPr>
    </w:p>
    <w:p>
      <w:pPr>
        <w:pStyle w:val="aff4"/>
        <w:keepNext/>
        <w:jc w:val="left"/>
      </w:pPr>
      <w:r>
        <w:rPr>
          <w:rFonts w:ascii="Noto Sans CJK KR" w:hAnsi="Noto Sans CJK KR" w:eastAsia="Noto Sans CJK KR" w:cs="Noto Sans CJK KR"/>
          <w:b/>
          <w:sz w:val="20"/>
        </w:rPr>
        <w:t>위기 사후보고서</w:t>
      </w:r>
    </w:p>
    <w:p>
      <w:pPr>
        <w:pStyle w:val="aff3"/>
        <w:spacing w:line="259" w:lineRule="auto"/>
      </w:pPr>
      <w:r>
        <w:rPr>
          <w:rFonts w:ascii="KoPubWorld바탕체_Pro Light" w:hAnsi="KoPubWorld바탕체_Pro Light" w:eastAsia="KoPubWorld바탕체_Pro Light" w:cs="KoPubWorld바탕체_Pro Light"/>
          <w:sz w:val="16"/>
        </w:rPr>
        <w:t>미국 금융위기조사위원회 보고서는 2007-2009년 위기의 증권화·등급·파생상품·감독 실패를 함께 추적한다. IMF의 아시아 금융구조조정 보고서와 독립평가, FSB의 2020년 시장혼란 검토, 연준의 SVB 검토와 FINMA의 크레디트스위스 보고서는 사건 뒤 당국이 무엇을 원인·교훈으로 분류했는지 보여 준다.</w:t>
      </w:r>
      <w:r>
        <w:rPr>
          <w:rFonts w:ascii="KoPubWorld바탕체_Pro Light" w:hAnsi="KoPubWorld바탕체_Pro Light" w:eastAsia="KoPubWorld바탕체_Pro Light" w:cs="KoPubWorld바탕체_Pro Light"/>
          <w:sz w:val="14"/>
          <w:vertAlign w:val="superscript"/>
        </w:rPr>
        <w:t>98</w:t>
      </w:r>
      <w:r>
        <w:rPr>
          <w:rFonts w:ascii="KoPubWorld바탕체_Pro Light" w:hAnsi="KoPubWorld바탕체_Pro Light" w:eastAsia="KoPubWorld바탕체_Pro Light" w:cs="KoPubWorld바탕체_Pro Light"/>
          <w:sz w:val="14"/>
          <w:vertAlign w:val="superscript"/>
        </w:rPr>
        <w:t>83</w:t>
      </w:r>
      <w:r>
        <w:rPr>
          <w:rFonts w:ascii="KoPubWorld바탕체_Pro Light" w:hAnsi="KoPubWorld바탕체_Pro Light" w:eastAsia="KoPubWorld바탕체_Pro Light" w:cs="KoPubWorld바탕체_Pro Light"/>
          <w:sz w:val="14"/>
          <w:vertAlign w:val="superscript"/>
        </w:rPr>
        <w:t>218</w:t>
      </w:r>
      <w:r>
        <w:rPr>
          <w:rFonts w:ascii="KoPubWorld바탕체_Pro Light" w:hAnsi="KoPubWorld바탕체_Pro Light" w:eastAsia="KoPubWorld바탕체_Pro Light" w:cs="KoPubWorld바탕체_Pro Light"/>
          <w:sz w:val="14"/>
          <w:vertAlign w:val="superscript"/>
        </w:rPr>
        <w:t>126</w:t>
      </w:r>
    </w:p>
    <w:p>
      <w:pPr>
        <w:pStyle w:val="aff3"/>
        <w:spacing w:line="259" w:lineRule="auto"/>
      </w:pPr>
      <w:r>
        <w:rPr>
          <w:rFonts w:ascii="KoPubWorld바탕체_Pro Light" w:hAnsi="KoPubWorld바탕체_Pro Light" w:eastAsia="KoPubWorld바탕체_Pro Light" w:cs="KoPubWorld바탕체_Pro Light"/>
          <w:sz w:val="16"/>
        </w:rPr>
        <w:t>사후보고서에도 한계가 있다. 작성기관의 법적 권한, 공개할 수 있는 자료와 조사시점에 따라 시야가 달라진다. 서로 다른 보고서가 같은 사건을 ‘유동성’, ‘지급불능’, ‘감독 실패’, ‘거시충격’으로 다르게 부를 때는 하나를 지우기보다 분석단위가 무엇인지 확인한다.</w:t>
      </w:r>
    </w:p>
    <w:p>
      <w:pPr>
        <w:spacing w:before="120" w:after="0"/>
      </w:pPr>
    </w:p>
    <w:p>
      <w:pPr>
        <w:pStyle w:val="aff4"/>
        <w:keepNext/>
        <w:jc w:val="left"/>
      </w:pPr>
      <w:r>
        <w:rPr>
          <w:rFonts w:ascii="Noto Sans CJK KR" w:hAnsi="Noto Sans CJK KR" w:eastAsia="Noto Sans CJK KR" w:cs="Noto Sans CJK KR"/>
          <w:b/>
          <w:sz w:val="20"/>
        </w:rPr>
        <w:t>국제기준과 평가문서</w:t>
      </w:r>
    </w:p>
    <w:p>
      <w:pPr>
        <w:pStyle w:val="aff3"/>
        <w:spacing w:line="259" w:lineRule="auto"/>
      </w:pPr>
      <w:r>
        <w:rPr>
          <w:rFonts w:ascii="KoPubWorld바탕체_Pro Light" w:hAnsi="KoPubWorld바탕체_Pro Light" w:eastAsia="KoPubWorld바탕체_Pro Light" w:cs="KoPubWorld바탕체_Pro Light"/>
          <w:sz w:val="16"/>
        </w:rPr>
        <w:t>BIS·바젤위원회, FSB, CPMI-IOSCO, FATF의 문서는 자본·유동성, 정리, 지급결제와 자금세탁방지의 공통기준을 제공한다. 이들은 세계정부의 법령이 아니다. 회원국이 법률·규정과 감독관행으로 옮기고 평가할 때 실효성이 생긴다.</w:t>
      </w:r>
      <w:r>
        <w:rPr>
          <w:rFonts w:ascii="KoPubWorld바탕체_Pro Light" w:hAnsi="KoPubWorld바탕체_Pro Light" w:eastAsia="KoPubWorld바탕체_Pro Light" w:cs="KoPubWorld바탕체_Pro Light"/>
          <w:sz w:val="14"/>
          <w:vertAlign w:val="superscript"/>
        </w:rPr>
        <w:t>220</w:t>
      </w:r>
      <w:r>
        <w:rPr>
          <w:rFonts w:ascii="KoPubWorld바탕체_Pro Light" w:hAnsi="KoPubWorld바탕체_Pro Light" w:eastAsia="KoPubWorld바탕체_Pro Light" w:cs="KoPubWorld바탕체_Pro Light"/>
          <w:sz w:val="14"/>
          <w:vertAlign w:val="superscript"/>
        </w:rPr>
        <w:t>122</w:t>
      </w:r>
      <w:r>
        <w:rPr>
          <w:rFonts w:ascii="KoPubWorld바탕체_Pro Light" w:hAnsi="KoPubWorld바탕체_Pro Light" w:eastAsia="KoPubWorld바탕체_Pro Light" w:cs="KoPubWorld바탕체_Pro Light"/>
          <w:sz w:val="14"/>
          <w:vertAlign w:val="superscript"/>
        </w:rPr>
        <w:t>224</w:t>
      </w:r>
      <w:r>
        <w:rPr>
          <w:rFonts w:ascii="KoPubWorld바탕체_Pro Light" w:hAnsi="KoPubWorld바탕체_Pro Light" w:eastAsia="KoPubWorld바탕체_Pro Light" w:cs="KoPubWorld바탕체_Pro Light"/>
          <w:sz w:val="14"/>
          <w:vertAlign w:val="superscript"/>
        </w:rPr>
        <w:t>221</w:t>
      </w:r>
    </w:p>
    <w:p>
      <w:pPr>
        <w:pStyle w:val="aff3"/>
        <w:spacing w:line="259" w:lineRule="auto"/>
      </w:pPr>
      <w:r>
        <w:rPr>
          <w:rFonts w:ascii="KoPubWorld바탕체_Pro Light" w:hAnsi="KoPubWorld바탕체_Pro Light" w:eastAsia="KoPubWorld바탕체_Pro Light" w:cs="KoPubWorld바탕체_Pro Light"/>
          <w:sz w:val="16"/>
        </w:rPr>
        <w:t>IMF·세계은행의 금융부문평가프로그램 FSAP는 금융시스템 회복력, 감독·규제의 질과 위기관리 능력을 분석한다. ROSC와 상세평가는 국제기준의 국내 이행을 읽는 출발점이지만, 평가연도 뒤의 법개정과 실제 집행을 따로 갱신해야 한다.</w:t>
      </w:r>
      <w:r>
        <w:rPr>
          <w:rFonts w:ascii="KoPubWorld바탕체_Pro Light" w:hAnsi="KoPubWorld바탕체_Pro Light" w:eastAsia="KoPubWorld바탕체_Pro Light" w:cs="KoPubWorld바탕체_Pro Light"/>
          <w:sz w:val="14"/>
          <w:vertAlign w:val="superscript"/>
        </w:rPr>
        <w:t>233</w:t>
      </w:r>
      <w:r>
        <w:rPr>
          <w:rFonts w:ascii="KoPubWorld바탕체_Pro Light" w:hAnsi="KoPubWorld바탕체_Pro Light" w:eastAsia="KoPubWorld바탕체_Pro Light" w:cs="KoPubWorld바탕체_Pro Light"/>
          <w:sz w:val="14"/>
          <w:vertAlign w:val="superscript"/>
        </w:rPr>
        <w:t>234</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한국사 자료를 찾는 순서</w:t>
      </w:r>
    </w:p>
    <w:p>
      <w:pPr>
        <w:spacing w:before="40" w:after="0"/>
      </w:pPr>
    </w:p>
    <w:p>
      <w:pPr>
        <w:spacing w:before="120" w:after="0"/>
      </w:pPr>
    </w:p>
    <w:p>
      <w:pPr>
        <w:pStyle w:val="aff4"/>
        <w:keepNext/>
        <w:jc w:val="left"/>
      </w:pPr>
      <w:r>
        <w:rPr>
          <w:rFonts w:ascii="Noto Sans CJK KR" w:hAnsi="Noto Sans CJK KR" w:eastAsia="Noto Sans CJK KR" w:cs="Noto Sans CJK KR"/>
          <w:b/>
          <w:sz w:val="20"/>
        </w:rPr>
        <w:t>1. 국가법령정보센터</w:t>
      </w:r>
    </w:p>
    <w:p>
      <w:pPr>
        <w:pStyle w:val="aff3"/>
        <w:spacing w:line="259" w:lineRule="auto"/>
      </w:pPr>
      <w:r>
        <w:rPr>
          <w:rFonts w:ascii="KoPubWorld바탕체_Pro Light" w:hAnsi="KoPubWorld바탕체_Pro Light" w:eastAsia="KoPubWorld바탕체_Pro Light" w:cs="KoPubWorld바탕체_Pro Light"/>
          <w:sz w:val="16"/>
        </w:rPr>
        <w:t>현행법·연혁·제정개정 이유·공포일·시행일을 먼저 확인한다. ‘법률이 제정됐다’와 ‘핵심 조항이 시행됐다’는 다를 수 있다. 1982년 금융실명법처럼 시행이 유예된 경우, 2025년 제정돼 2026년 시행된 AI 기본법처럼 시차가 있는 경우가 대표적이다.</w:t>
      </w:r>
      <w:r>
        <w:rPr>
          <w:rFonts w:ascii="KoPubWorld바탕체_Pro Light" w:hAnsi="KoPubWorld바탕체_Pro Light" w:eastAsia="KoPubWorld바탕체_Pro Light" w:cs="KoPubWorld바탕체_Pro Light"/>
          <w:sz w:val="14"/>
          <w:vertAlign w:val="superscript"/>
        </w:rPr>
        <w:t>152</w:t>
      </w:r>
      <w:r>
        <w:rPr>
          <w:rFonts w:ascii="KoPubWorld바탕체_Pro Light" w:hAnsi="KoPubWorld바탕체_Pro Light" w:eastAsia="KoPubWorld바탕체_Pro Light" w:cs="KoPubWorld바탕체_Pro Light"/>
          <w:sz w:val="14"/>
          <w:vertAlign w:val="superscript"/>
        </w:rPr>
        <w:t>214</w:t>
      </w:r>
    </w:p>
    <w:p>
      <w:pPr>
        <w:pStyle w:val="aff3"/>
        <w:spacing w:line="259" w:lineRule="auto"/>
      </w:pPr>
      <w:r>
        <w:rPr>
          <w:rFonts w:ascii="KoPubWorld바탕체_Pro Light" w:hAnsi="KoPubWorld바탕체_Pro Light" w:eastAsia="KoPubWorld바탕체_Pro Light" w:cs="KoPubWorld바탕체_Pro Light"/>
          <w:sz w:val="16"/>
        </w:rPr>
        <w:t>법령 화면의 ‘시행’ 날짜는 선택한 버전의 효력일이다. 타법개정은 해당 제도의 핵심내용이 바뀐 것이 아니라 정부조직 명칭 같은 인용조문 정비일 수 있다. 제정문·개정이유와 실제 바뀐 조문을 확인한다.</w:t>
      </w:r>
    </w:p>
    <w:p>
      <w:pPr>
        <w:spacing w:before="120" w:after="0"/>
      </w:pPr>
    </w:p>
    <w:p>
      <w:pPr>
        <w:pStyle w:val="aff4"/>
        <w:keepNext/>
        <w:jc w:val="left"/>
      </w:pPr>
      <w:r>
        <w:rPr>
          <w:rFonts w:ascii="Noto Sans CJK KR" w:hAnsi="Noto Sans CJK KR" w:eastAsia="Noto Sans CJK KR" w:cs="Noto Sans CJK KR"/>
          <w:b/>
          <w:sz w:val="20"/>
        </w:rPr>
        <w:t>2. 한국은행 디지털아카이브·화폐박물관</w:t>
      </w:r>
    </w:p>
    <w:p>
      <w:pPr>
        <w:pStyle w:val="aff3"/>
        <w:spacing w:line="259" w:lineRule="auto"/>
      </w:pPr>
      <w:r>
        <w:rPr>
          <w:rFonts w:ascii="KoPubWorld바탕체_Pro Light" w:hAnsi="KoPubWorld바탕체_Pro Light" w:eastAsia="KoPubWorld바탕체_Pro Light" w:cs="KoPubWorld바탕체_Pro Light"/>
          <w:sz w:val="16"/>
        </w:rPr>
        <w:t>화폐, 구 한국은행·조선은행, 현재 한국은행법과 통화개혁의 공식 기록을 찾는다. 사료의 명칭과 기관 동일성을 특히 주의한다. 1909년 구 한국은행은 일본이 주도한 기관이고 1950년 출범한 현재의 한국은행과 법적으로 무관하다.</w:t>
      </w:r>
      <w:r>
        <w:rPr>
          <w:rFonts w:ascii="KoPubWorld바탕체_Pro Light" w:hAnsi="KoPubWorld바탕체_Pro Light" w:eastAsia="KoPubWorld바탕체_Pro Light" w:cs="KoPubWorld바탕체_Pro Light"/>
          <w:sz w:val="14"/>
          <w:vertAlign w:val="superscript"/>
        </w:rPr>
        <w:t>136</w:t>
      </w:r>
      <w:r>
        <w:rPr>
          <w:rFonts w:ascii="KoPubWorld바탕체_Pro Light" w:hAnsi="KoPubWorld바탕체_Pro Light" w:eastAsia="KoPubWorld바탕체_Pro Light" w:cs="KoPubWorld바탕체_Pro Light"/>
          <w:sz w:val="14"/>
          <w:vertAlign w:val="superscript"/>
        </w:rPr>
        <w:t>142</w:t>
      </w:r>
    </w:p>
    <w:p>
      <w:pPr>
        <w:spacing w:before="120" w:after="0"/>
      </w:pPr>
    </w:p>
    <w:p>
      <w:pPr>
        <w:pStyle w:val="aff4"/>
        <w:keepNext/>
        <w:jc w:val="left"/>
      </w:pPr>
      <w:r>
        <w:rPr>
          <w:rFonts w:ascii="Noto Sans CJK KR" w:hAnsi="Noto Sans CJK KR" w:eastAsia="Noto Sans CJK KR" w:cs="Noto Sans CJK KR"/>
          <w:b/>
          <w:sz w:val="20"/>
        </w:rPr>
        <w:t>3. 국가기록원·국사편찬위원회</w:t>
      </w:r>
    </w:p>
    <w:p>
      <w:pPr>
        <w:pStyle w:val="aff3"/>
        <w:spacing w:line="259" w:lineRule="auto"/>
      </w:pPr>
      <w:r>
        <w:rPr>
          <w:rFonts w:ascii="KoPubWorld바탕체_Pro Light" w:hAnsi="KoPubWorld바탕체_Pro Light" w:eastAsia="KoPubWorld바탕체_Pro Light" w:cs="KoPubWorld바탕체_Pro Light"/>
          <w:sz w:val="16"/>
        </w:rPr>
        <w:t>긴급명령, 식민지 금융법령, 조선왕조실록과 우리역사넷의 해설을 통해 법문이 실제 사회에서 어떻게 작동했는지 본다. ‘일본일리’는 연 100퍼센트 금리 허용이 아니라 누적이자가 원금을 넘지 않게 한다는 원칙으로 읽어야 하고, 환곡의 모곡을 현대 연이율과 곧바로 비교하면 안 된다.</w:t>
      </w:r>
      <w:r>
        <w:rPr>
          <w:rFonts w:ascii="KoPubWorld바탕체_Pro Light" w:hAnsi="KoPubWorld바탕체_Pro Light" w:eastAsia="KoPubWorld바탕체_Pro Light" w:cs="KoPubWorld바탕체_Pro Light"/>
          <w:sz w:val="14"/>
          <w:vertAlign w:val="superscript"/>
        </w:rPr>
        <w:t>132</w:t>
      </w:r>
      <w:r>
        <w:rPr>
          <w:rFonts w:ascii="KoPubWorld바탕체_Pro Light" w:hAnsi="KoPubWorld바탕체_Pro Light" w:eastAsia="KoPubWorld바탕체_Pro Light" w:cs="KoPubWorld바탕체_Pro Light"/>
          <w:sz w:val="14"/>
          <w:vertAlign w:val="superscript"/>
        </w:rPr>
        <w:t>133</w:t>
      </w:r>
      <w:r>
        <w:rPr>
          <w:rFonts w:ascii="KoPubWorld바탕체_Pro Light" w:hAnsi="KoPubWorld바탕체_Pro Light" w:eastAsia="KoPubWorld바탕체_Pro Light" w:cs="KoPubWorld바탕체_Pro Light"/>
          <w:sz w:val="14"/>
          <w:vertAlign w:val="superscript"/>
        </w:rPr>
        <w:t>150</w:t>
      </w:r>
    </w:p>
    <w:p>
      <w:pPr>
        <w:spacing w:before="120" w:after="0"/>
      </w:pPr>
    </w:p>
    <w:p>
      <w:pPr>
        <w:pStyle w:val="aff4"/>
        <w:keepNext/>
        <w:jc w:val="left"/>
      </w:pPr>
      <w:r>
        <w:rPr>
          <w:rFonts w:ascii="Noto Sans CJK KR" w:hAnsi="Noto Sans CJK KR" w:eastAsia="Noto Sans CJK KR" w:cs="Noto Sans CJK KR"/>
          <w:b/>
          <w:sz w:val="20"/>
        </w:rPr>
        <w:t>4. 금융위·금감원·예보·거래소·KoFIU</w:t>
      </w:r>
    </w:p>
    <w:p>
      <w:pPr>
        <w:pStyle w:val="aff3"/>
        <w:spacing w:line="259" w:lineRule="auto"/>
      </w:pPr>
      <w:r>
        <w:rPr>
          <w:rFonts w:ascii="KoPubWorld바탕체_Pro Light" w:hAnsi="KoPubWorld바탕체_Pro Light" w:eastAsia="KoPubWorld바탕체_Pro Light" w:cs="KoPubWorld바탕체_Pro Light"/>
          <w:sz w:val="16"/>
        </w:rPr>
        <w:t>보도자료는 시행일, 감독기준과 집행사례를 빠르게 찾는 데 유용하다. 그러나 정책방향·입법예고·시범운영·최종 법률을 구분한다. 거래소 자료는 시장운영·청산·시장감시의 실제 구조, KoFIU 자료는 CDD·STR·CTR와 국제기준 이행을 이해하는 데 유용하다.</w:t>
      </w:r>
      <w:r>
        <w:rPr>
          <w:rFonts w:ascii="KoPubWorld바탕체_Pro Light" w:hAnsi="KoPubWorld바탕체_Pro Light" w:eastAsia="KoPubWorld바탕체_Pro Light" w:cs="KoPubWorld바탕체_Pro Light"/>
          <w:sz w:val="14"/>
          <w:vertAlign w:val="superscript"/>
        </w:rPr>
        <w:t>231</w:t>
      </w:r>
      <w:r>
        <w:rPr>
          <w:rFonts w:ascii="KoPubWorld바탕체_Pro Light" w:hAnsi="KoPubWorld바탕체_Pro Light" w:eastAsia="KoPubWorld바탕체_Pro Light" w:cs="KoPubWorld바탕체_Pro Light"/>
          <w:sz w:val="14"/>
          <w:vertAlign w:val="superscript"/>
        </w:rPr>
        <w:t>229</w:t>
      </w:r>
    </w:p>
    <w:p>
      <w:pPr>
        <w:pStyle w:val="aff3"/>
        <w:spacing w:line="259" w:lineRule="auto"/>
      </w:pPr>
      <w:r>
        <w:rPr>
          <w:rFonts w:ascii="KoPubWorld바탕체_Pro Light" w:hAnsi="KoPubWorld바탕체_Pro Light" w:eastAsia="KoPubWorld바탕체_Pro Light" w:cs="KoPubWorld바탕체_Pro Light"/>
          <w:sz w:val="16"/>
        </w:rPr>
        <w:t>2026년 자료를 찾을 때 기관명도 갱신한다. 2026년 1월 2일부터 기획재정부가 재정경제부로 개편됐으므로 현재 조직도를 과거 기관명으로 쓰지 않는다. 역사적 사건을 설명할 때는 당시 명칭을 유지하고 괄호로 후신을 설명한다.</w:t>
      </w:r>
      <w:r>
        <w:rPr>
          <w:rFonts w:ascii="KoPubWorld바탕체_Pro Light" w:hAnsi="KoPubWorld바탕체_Pro Light" w:eastAsia="KoPubWorld바탕체_Pro Light" w:cs="KoPubWorld바탕체_Pro Light"/>
          <w:sz w:val="14"/>
          <w:vertAlign w:val="superscript"/>
        </w:rPr>
        <w:t>168</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날짜와 상태를 검증하는 여덟 질문</w:t>
      </w:r>
    </w:p>
    <w:p>
      <w:pPr>
        <w:spacing w:before="40" w:after="0"/>
      </w:pPr>
    </w:p>
    <w:p>
      <w:pPr>
        <w:pStyle w:val="a"/>
        <w:spacing w:after="40" w:line="254" w:lineRule="auto"/>
        <w:ind w:left="360" w:hanging="202"/>
      </w:pPr>
      <w:r>
        <w:rPr>
          <w:rFonts w:ascii="KoPubWorld바탕체_Pro Light" w:hAnsi="KoPubWorld바탕체_Pro Light" w:eastAsia="KoPubWorld바탕체_Pro Light" w:cs="KoPubWorld바탕체_Pro Light"/>
          <w:sz w:val="16"/>
        </w:rPr>
        <w:t>문서는 법률·명령·행정규칙·감독지침·보도자료·협의안 중 무엇인가.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날짜는 의결, 공포, 발효, 적용, 기관 출범, 업무개시 가운데 무엇인가.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현재 시행 중인 통합본인가, 사건 당시 역사본인가.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전체 조항이 동시에 적용되는가, 단계적 시행·유예·과도기가 있는가.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국제기준이 국내 법령으로 어떻게 이행됐는가.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적용대상은 은행, 금융그룹, 특정 상품·판매유형, 모든 기업 가운데 어디까지인가.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‘추진·검토·예정·잠정 합의’를 ‘제정·시행’으로 바꾸어 쓰지 않았는가.</w:t>
      </w:r>
    </w:p>
    <w:p>
      <w:pPr>
        <w:pStyle w:val="a"/>
        <w:spacing w:after="40" w:line="254" w:lineRule="auto"/>
        <w:ind w:left="360" w:hanging="202"/>
      </w:pPr>
      <w:r>
        <w:rPr>
          <w:rFonts w:ascii="KoPubWorld바탕체_Pro Light" w:hAnsi="KoPubWorld바탕체_Pro Light" w:eastAsia="KoPubWorld바탕체_Pro Light" w:cs="KoPubWorld바탕체_Pro Light"/>
          <w:sz w:val="16"/>
        </w:rPr>
        <w:t>접속일 이후 제도변경 가능성이 있는 최신 사안인가.</w:t>
      </w:r>
    </w:p>
    <w:p>
      <w:pPr>
        <w:pStyle w:val="aff3"/>
        <w:spacing w:line="259" w:lineRule="auto"/>
      </w:pPr>
      <w:r>
        <w:rPr>
          <w:rFonts w:ascii="KoPubWorld바탕체_Pro Light" w:hAnsi="KoPubWorld바탕체_Pro Light" w:eastAsia="KoPubWorld바탕체_Pro Light" w:cs="KoPubWorld바탕체_Pro Light"/>
          <w:sz w:val="16"/>
        </w:rPr>
        <w:t>이 책은 최근 제도의 기준일을 2026년 7월 14일로 삼았다. 그날 현재 MiCA의 최장 기존사업자 과도기 바깥 한계인 2026년 7월 1일은 지났고, 한국의 가상자산 2단계 기본법은 아직 제정·시행법이 아니다. EU AI법 일정 변경은 2026년 5월 공동입법자의 잠정 합의 단계와 원법의 적용일을 함께 표시했다.</w:t>
      </w:r>
      <w:r>
        <w:rPr>
          <w:rFonts w:ascii="KoPubWorld바탕체_Pro Light" w:hAnsi="KoPubWorld바탕체_Pro Light" w:eastAsia="KoPubWorld바탕체_Pro Light" w:cs="KoPubWorld바탕체_Pro Light"/>
          <w:sz w:val="14"/>
          <w:vertAlign w:val="superscript"/>
        </w:rPr>
        <w:t>196</w:t>
      </w:r>
      <w:r>
        <w:rPr>
          <w:rFonts w:ascii="KoPubWorld바탕체_Pro Light" w:hAnsi="KoPubWorld바탕체_Pro Light" w:eastAsia="KoPubWorld바탕체_Pro Light" w:cs="KoPubWorld바탕체_Pro Light"/>
          <w:sz w:val="14"/>
          <w:vertAlign w:val="superscript"/>
        </w:rPr>
        <w:t>192</w:t>
      </w:r>
      <w:r>
        <w:rPr>
          <w:rFonts w:ascii="KoPubWorld바탕체_Pro Light" w:hAnsi="KoPubWorld바탕체_Pro Light" w:eastAsia="KoPubWorld바탕체_Pro Light" w:cs="KoPubWorld바탕체_Pro Light"/>
          <w:sz w:val="14"/>
          <w:vertAlign w:val="superscript"/>
        </w:rPr>
        <w:t>217</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인용·번역 원칙</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인용은 짧게, 맥락은 길게 썼다. 법률·보고서의 문장을 장문으로 옮기기보다 조문번호·문서명·날짜를 제시하고 한국어로 요약했다. 직접인용이 필요한 경우에도 원문의 뜻을 바꾸지 않는 최소 범위를 사용한다. 각 장의 주와 참고문헌에는 독자가 원문을 확인할 수 있는 공식 URL과 최종 접속일을 남겼다.</w:t>
      </w:r>
    </w:p>
    <w:p>
      <w:pPr>
        <w:pStyle w:val="aff3"/>
        <w:spacing w:line="259" w:lineRule="auto"/>
      </w:pPr>
      <w:r>
        <w:rPr>
          <w:rFonts w:ascii="KoPubWorld바탕체_Pro Light" w:hAnsi="KoPubWorld바탕체_Pro Light" w:eastAsia="KoPubWorld바탕체_Pro Light" w:cs="KoPubWorld바탕체_Pro Light"/>
          <w:sz w:val="16"/>
        </w:rPr>
        <w:t>기관명·법률명은 공식 한국어 명칭이 있으면 그것을 우선했다. 한국어 공식명이 없는 국제문서는 첫 등장에 원제·약어를 병기하고 뒤에는 일관된 번역어를 사용했다. resolution은 맥락에 따라 ‘정리’, recovery는 ‘회복’, resilience는 단순한 ‘안정성’보다 ‘복원력’, supervision은 ‘감독’, regulation은 ‘규제’로 구분했다.</w:t>
      </w:r>
    </w:p>
    <w:p>
      <w:pPr>
        <w:pStyle w:val="aff3"/>
        <w:spacing w:line="259" w:lineRule="auto"/>
      </w:pPr>
      <w:r>
        <w:rPr>
          <w:rFonts w:ascii="KoPubWorld바탕체_Pro Light" w:hAnsi="KoPubWorld바탕체_Pro Light" w:eastAsia="KoPubWorld바탕체_Pro Light" w:cs="KoPubWorld바탕체_Pro Light"/>
          <w:sz w:val="16"/>
        </w:rPr>
        <w:t>숫자는 가능한 한 명목액과 비율, 기준일·통화를 함께 쓴다. ‘사상 최대’, ‘대부분’, ‘급증’ 같은 표현은 비교기간과 원자료가 없으면 피한다. 위기지원액은 승인한도, 실제 집행, 잔액과 최종손실이 서로 다르므로 하나의 숫자로 구제비용을 단정하지 않는다.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AI 활용과 저자 책임</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이 책의 자료정리, 개요 설계, 초고 작성·교정, 주석키 점검과 삽화 콘셉트 개발에는 생성형 인공지능을 보조도구로 사용했다. AI가 제시한 문장이나 사실을 출처로 인용하지 않았고, 날짜·기관명·법적 상태는 위의 공식 사료와 법령을 기준으로 다시 확인했다. 특히 최신 제도는 검색 결과의 요약문이 아니라 원문 페이지의 발행일·시행상태를 대조했다.</w:t>
      </w:r>
    </w:p>
    <w:p>
      <w:pPr>
        <w:pStyle w:val="aff3"/>
        <w:spacing w:line="259" w:lineRule="auto"/>
      </w:pPr>
      <w:r>
        <w:rPr>
          <w:rFonts w:ascii="KoPubWorld바탕체_Pro Light" w:hAnsi="KoPubWorld바탕체_Pro Light" w:eastAsia="KoPubWorld바탕체_Pro Light" w:cs="KoPubWorld바탕체_Pro Light"/>
          <w:sz w:val="16"/>
        </w:rPr>
        <w:t>AI는 사료의 저자가 아니고 책임주체도 아니다. 무엇을 선택하고 어떻게 해석할지, 오류를 수정하고 최종 원고를 승인할 책임은 저자에게 있다. 독자가 재검증할 수 있도록 AI 사용 사실과 확인방법을 숨기지 않는 것이 이 책의 원칙이다.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삽화·저작권·재사용 원칙</w:t>
      </w:r>
    </w:p>
    <w:p>
      <w:pPr>
        <w:spacing w:before="40" w:after="0"/>
      </w:pPr>
    </w:p>
    <w:p>
      <w:pPr>
        <w:pStyle w:val="aff3"/>
        <w:spacing w:line="259" w:lineRule="auto"/>
      </w:pPr>
      <w:r>
        <w:rPr>
          <w:rFonts w:ascii="KoPubWorld바탕체_Pro Light" w:hAnsi="KoPubWorld바탕체_Pro Light" w:eastAsia="KoPubWorld바탕체_Pro Light" w:cs="KoPubWorld바탕체_Pro Light"/>
          <w:sz w:val="16"/>
        </w:rPr>
        <w:t>내지 삽화와 표지 원화는 특정 생존작가의 화풍을 모사하지 않고, 시대고증을 위한 일반적 동판화·잉크워시 어휘로 새로 생성했다. 원화에는 읽을 수 있는 로고·상표·워터마크를 넣지 않았고 최종 내지는 그레이스케일로 변환했다. 삽화는 역사적 장면의 해석적 재구성이며 사건의 사진증거가 아니다.</w:t>
      </w:r>
    </w:p>
    <w:p>
      <w:pPr>
        <w:pStyle w:val="aff3"/>
        <w:spacing w:line="259" w:lineRule="auto"/>
      </w:pPr>
      <w:r>
        <w:rPr>
          <w:rFonts w:ascii="KoPubWorld바탕체_Pro Light" w:hAnsi="KoPubWorld바탕체_Pro Light" w:eastAsia="KoPubWorld바탕체_Pro Light" w:cs="KoPubWorld바탕체_Pro Light"/>
          <w:sz w:val="16"/>
        </w:rPr>
        <w:t>법령·정부기록·공식 보고서도 출처표시와 각 기관의 이용조건을 존중한다. 공개돼 있다는 사실만으로 모든 이미지·도표가 자유로운 2차 이용 대상은 아니다. 이 책은 공식 문서의 전체 페이지나 제3자 사진을 복제하기보다 사실을 요약하고 독립적인 도해·삽화를 사용했다.</w:t>
      </w:r>
    </w:p>
    <w:p>
      <w:pPr>
        <w:spacing w:before="160" w:after="0"/>
      </w:pPr>
    </w:p>
    <w:p>
      <w:pPr>
        <w:pStyle w:val="aff2"/>
        <w:keepNext/>
        <w:jc w:val="center"/>
      </w:pPr>
      <w:r>
        <w:rPr>
          <w:rFonts w:ascii="KoPubWorld바탕체_Pro Bold" w:hAnsi="KoPubWorld바탕체_Pro Bold" w:eastAsia="KoPubWorld바탕체_Pro Bold" w:cs="KoPubWorld바탕체_Pro Bold"/>
          <w:b/>
          <w:sz w:val="24"/>
        </w:rPr>
        <w:t>짧은 추천 읽기 목록</w:t>
      </w:r>
    </w:p>
    <w:p>
      <w:pPr>
        <w:spacing w:before="40" w:after="0"/>
      </w:pPr>
    </w:p>
    <w:p>
      <w:pPr>
        <w:pStyle w:val="a0"/>
        <w:spacing w:after="40" w:line="254" w:lineRule="auto"/>
        <w:ind w:left="360" w:hanging="202"/>
      </w:pPr>
      <w:r>
        <w:rPr>
          <w:rFonts w:ascii="KoPubWorld바탕체_Pro Light" w:hAnsi="KoPubWorld바탕체_Pro Light" w:eastAsia="KoPubWorld바탕체_Pro Light" w:cs="KoPubWorld바탕체_Pro Light"/>
          <w:sz w:val="16"/>
        </w:rPr>
        <w:t>중앙은행과 위기대출 — 배저트, 「롬바드 스트리트」; 영란은행의 오버렌드 거니·최종대부자 연구.</w:t>
      </w:r>
      <w:r>
        <w:rPr>
          <w:rFonts w:ascii="KoPubWorld바탕체_Pro Light" w:hAnsi="KoPubWorld바탕체_Pro Light" w:eastAsia="KoPubWorld바탕체_Pro Light" w:cs="KoPubWorld바탕체_Pro Light"/>
          <w:sz w:val="14"/>
          <w:vertAlign w:val="superscript"/>
        </w:rPr>
        <w:t>34</w:t>
      </w:r>
      <w:r>
        <w:rPr>
          <w:rFonts w:ascii="KoPubWorld바탕체_Pro Light" w:hAnsi="KoPubWorld바탕체_Pro Light" w:eastAsia="KoPubWorld바탕체_Pro Light" w:cs="KoPubWorld바탕체_Pro Light"/>
          <w:sz w:val="14"/>
          <w:vertAlign w:val="superscript"/>
        </w:rPr>
        <w:t>18</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대공황과 미국 제도개혁 — Federal Reserve History의 은행공황·은행휴업 자료, FDIC 1930년대 연표, SEC의 1933·1934년 법률 원문.</w:t>
      </w:r>
      <w:r>
        <w:rPr>
          <w:rFonts w:ascii="KoPubWorld바탕체_Pro Light" w:hAnsi="KoPubWorld바탕체_Pro Light" w:eastAsia="KoPubWorld바탕체_Pro Light" w:cs="KoPubWorld바탕체_Pro Light"/>
          <w:sz w:val="14"/>
          <w:vertAlign w:val="superscript"/>
        </w:rPr>
        <w:t>48</w:t>
      </w:r>
      <w:r>
        <w:rPr>
          <w:rFonts w:ascii="KoPubWorld바탕체_Pro Light" w:hAnsi="KoPubWorld바탕체_Pro Light" w:eastAsia="KoPubWorld바탕체_Pro Light" w:cs="KoPubWorld바탕체_Pro Light"/>
          <w:sz w:val="14"/>
          <w:vertAlign w:val="superscript"/>
        </w:rPr>
        <w:t>46</w:t>
      </w:r>
      <w:r>
        <w:rPr>
          <w:rFonts w:ascii="KoPubWorld바탕체_Pro Light" w:hAnsi="KoPubWorld바탕체_Pro Light" w:eastAsia="KoPubWorld바탕체_Pro Light" w:cs="KoPubWorld바탕체_Pro Light"/>
          <w:sz w:val="14"/>
          <w:vertAlign w:val="superscript"/>
        </w:rPr>
        <w:t>53</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브레턴우즈와 자본이동 — IMF 협정문과 역사연표, 연준의 브레턴우즈 해설.</w:t>
      </w:r>
      <w:r>
        <w:rPr>
          <w:rFonts w:ascii="KoPubWorld바탕체_Pro Light" w:hAnsi="KoPubWorld바탕체_Pro Light" w:eastAsia="KoPubWorld바탕체_Pro Light" w:cs="KoPubWorld바탕체_Pro Light"/>
          <w:sz w:val="14"/>
          <w:vertAlign w:val="superscript"/>
        </w:rPr>
        <w:t>56</w:t>
      </w:r>
      <w:r>
        <w:rPr>
          <w:rFonts w:ascii="KoPubWorld바탕체_Pro Light" w:hAnsi="KoPubWorld바탕체_Pro Light" w:eastAsia="KoPubWorld바탕체_Pro Light" w:cs="KoPubWorld바탕체_Pro Light"/>
          <w:sz w:val="14"/>
          <w:vertAlign w:val="superscript"/>
        </w:rPr>
        <w:t>57</w:t>
      </w:r>
      <w:r>
        <w:rPr>
          <w:rFonts w:ascii="KoPubWorld바탕체_Pro Light" w:hAnsi="KoPubWorld바탕체_Pro Light" w:eastAsia="KoPubWorld바탕체_Pro Light" w:cs="KoPubWorld바탕체_Pro Light"/>
          <w:sz w:val="14"/>
          <w:vertAlign w:val="superscript"/>
        </w:rPr>
        <w:t>55</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글로벌 금융위기 — 미국 금융위기조사위원회 최종보고서, G20 워싱턴·런던 선언, 바젤 III와 FSB 정리 핵심속성.</w:t>
      </w:r>
      <w:r>
        <w:rPr>
          <w:rFonts w:ascii="KoPubWorld바탕체_Pro Light" w:hAnsi="KoPubWorld바탕체_Pro Light" w:eastAsia="KoPubWorld바탕체_Pro Light" w:cs="KoPubWorld바탕체_Pro Light"/>
          <w:sz w:val="14"/>
          <w:vertAlign w:val="superscript"/>
        </w:rPr>
        <w:t>98</w:t>
      </w:r>
      <w:r>
        <w:rPr>
          <w:rFonts w:ascii="KoPubWorld바탕체_Pro Light" w:hAnsi="KoPubWorld바탕체_Pro Light" w:eastAsia="KoPubWorld바탕체_Pro Light" w:cs="KoPubWorld바탕체_Pro Light"/>
          <w:sz w:val="14"/>
          <w:vertAlign w:val="superscript"/>
        </w:rPr>
        <w:t>109</w:t>
      </w:r>
      <w:r>
        <w:rPr>
          <w:rFonts w:ascii="KoPubWorld바탕체_Pro Light" w:hAnsi="KoPubWorld바탕체_Pro Light" w:eastAsia="KoPubWorld바탕체_Pro Light" w:cs="KoPubWorld바탕체_Pro Light"/>
          <w:sz w:val="14"/>
          <w:vertAlign w:val="superscript"/>
        </w:rPr>
        <w:t>116</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한국 금융제도사 — 한국은행 디지털아카이브·화폐박물관, 국가기록원, 국사편찬위원회와 국가법령정보센터를 사건별로 교차검색한다.</w:t>
      </w:r>
      <w:r>
        <w:rPr>
          <w:rFonts w:ascii="KoPubWorld바탕체_Pro Light" w:hAnsi="KoPubWorld바탕체_Pro Light" w:eastAsia="KoPubWorld바탕체_Pro Light" w:cs="KoPubWorld바탕체_Pro Light"/>
          <w:sz w:val="14"/>
          <w:vertAlign w:val="superscript"/>
        </w:rPr>
        <w:t>222</w:t>
      </w:r>
      <w:r>
        <w:rPr>
          <w:rFonts w:ascii="KoPubWorld바탕체_Pro Light" w:hAnsi="KoPubWorld바탕체_Pro Light" w:eastAsia="KoPubWorld바탕체_Pro Light" w:cs="KoPubWorld바탕체_Pro Light"/>
          <w:sz w:val="14"/>
          <w:vertAlign w:val="superscript"/>
        </w:rPr>
        <w:t>137</w:t>
      </w:r>
    </w:p>
    <w:p>
      <w:pPr>
        <w:pStyle w:val="a0"/>
        <w:spacing w:after="40" w:line="254" w:lineRule="auto"/>
        <w:ind w:left="360" w:hanging="202"/>
      </w:pPr>
      <w:r>
        <w:rPr>
          <w:rFonts w:ascii="KoPubWorld바탕체_Pro Light" w:hAnsi="KoPubWorld바탕체_Pro Light" w:eastAsia="KoPubWorld바탕체_Pro Light" w:cs="KoPubWorld바탕체_Pro Light"/>
          <w:sz w:val="16"/>
        </w:rPr>
        <w:t>오늘의 경계 — MiCA·DORA·EU AI법 원문, FSB 암호자산 권고, 한국의 가상자산 이용자보호법·AI 기본법과 한국은행 디지털화폐 자료를 시행상태별로 읽는다.</w:t>
      </w:r>
      <w:r>
        <w:rPr>
          <w:rFonts w:ascii="KoPubWorld바탕체_Pro Light" w:hAnsi="KoPubWorld바탕체_Pro Light" w:eastAsia="KoPubWorld바탕체_Pro Light" w:cs="KoPubWorld바탕체_Pro Light"/>
          <w:sz w:val="14"/>
          <w:vertAlign w:val="superscript"/>
        </w:rPr>
        <w:t>195</w:t>
      </w:r>
      <w:r>
        <w:rPr>
          <w:rFonts w:ascii="KoPubWorld바탕체_Pro Light" w:hAnsi="KoPubWorld바탕체_Pro Light" w:eastAsia="KoPubWorld바탕체_Pro Light" w:cs="KoPubWorld바탕체_Pro Light"/>
          <w:sz w:val="14"/>
          <w:vertAlign w:val="superscript"/>
        </w:rPr>
        <w:t>208</w:t>
      </w:r>
      <w:r>
        <w:rPr>
          <w:rFonts w:ascii="KoPubWorld바탕체_Pro Light" w:hAnsi="KoPubWorld바탕체_Pro Light" w:eastAsia="KoPubWorld바탕체_Pro Light" w:cs="KoPubWorld바탕체_Pro Light"/>
          <w:sz w:val="14"/>
          <w:vertAlign w:val="superscript"/>
        </w:rPr>
        <w:t>197</w:t>
      </w:r>
      <w:r>
        <w:rPr>
          <w:rFonts w:ascii="KoPubWorld바탕체_Pro Light" w:hAnsi="KoPubWorld바탕체_Pro Light" w:eastAsia="KoPubWorld바탕체_Pro Light" w:cs="KoPubWorld바탕체_Pro Light"/>
          <w:sz w:val="14"/>
          <w:vertAlign w:val="superscript"/>
        </w:rPr>
        <w:t>214</w:t>
      </w:r>
    </w:p>
    <w:p>
      <w:pPr>
        <w:pStyle w:val="aff3"/>
        <w:spacing w:line="259" w:lineRule="auto"/>
      </w:pPr>
      <w:r>
        <w:rPr>
          <w:rFonts w:ascii="KoPubWorld바탕체_Pro Light" w:hAnsi="KoPubWorld바탕체_Pro Light" w:eastAsia="KoPubWorld바탕체_Pro Light" w:cs="KoPubWorld바탕체_Pro Light"/>
          <w:sz w:val="16"/>
        </w:rPr>
        <w:t>사료를 많이 모으는 것보다 중요한 것은 서로 다른 문서가 답하는 질문을 구별하는 일이다. 법률은 권한을, 감독문서는 기대를, 위기보고서는 사후 원인을, 통계는 규모를, 판결은 책임을 말한다. 이 다섯 목소리를 겹쳐 읽을 때 금융규제사는 규칙의 목록이 아니라 사회가 실패를 감당하는 방식의 역사가 된다.</w:t>
      </w:r>
    </w:p>
    <w:p>
      <w:r>
        <w:br w:type="page"/>
      </w:r>
    </w:p>
    <w:p>
      <w:pPr>
        <w:spacing w:before="320" w:after="0"/>
      </w:pPr>
    </w:p>
    <w:p>
      <w:pPr>
        <w:pStyle w:val="aff1"/>
        <w:jc w:val="center"/>
      </w:pPr>
      <w:r>
        <w:rPr>
          <w:rFonts w:ascii="KoPubWorld바탕체_Pro Bold" w:hAnsi="KoPubWorld바탕체_Pro Bold" w:eastAsia="KoPubWorld바탕체_Pro Bold" w:cs="KoPubWorld바탕체_Pro Bold"/>
          <w:b/>
          <w:sz w:val="28"/>
        </w:rPr>
        <w:t>삽화 목록</w:t>
      </w:r>
    </w:p>
    <w:p>
      <w:pPr>
        <w:spacing w:before="100" w:after="0"/>
      </w:pPr>
    </w:p>
    <w:p>
      <w:pPr>
        <w:pStyle w:val="aff4"/>
        <w:spacing w:after="40" w:line="240" w:lineRule="auto"/>
        <w:ind w:left="220" w:hanging="220"/>
      </w:pPr>
      <w:r>
        <w:rPr>
          <w:rFonts w:ascii="Noto Sans CJK KR" w:hAnsi="Noto Sans CJK KR" w:eastAsia="Noto Sans CJK KR" w:cs="Noto Sans CJK KR"/>
          <w:sz w:val="15"/>
        </w:rPr>
        <w:t>그림 1. 빚이 법을 낳다 — 메소포타미아의 이자와 채무구제  13쪽</w:t>
      </w:r>
    </w:p>
    <w:p>
      <w:pPr>
        <w:pStyle w:val="aff4"/>
        <w:spacing w:after="40" w:line="240" w:lineRule="auto"/>
        <w:ind w:left="220" w:hanging="220"/>
      </w:pPr>
      <w:r>
        <w:rPr>
          <w:rFonts w:ascii="Noto Sans CJK KR" w:hAnsi="Noto Sans CJK KR" w:eastAsia="Noto Sans CJK KR" w:cs="Noto Sans CJK KR"/>
          <w:sz w:val="15"/>
        </w:rPr>
        <w:t>그림 4. 종이 한 장이 국경을 넘다 — 환어음과 상인법  30쪽</w:t>
      </w:r>
    </w:p>
    <w:p>
      <w:pPr>
        <w:pStyle w:val="aff4"/>
        <w:spacing w:after="40" w:line="240" w:lineRule="auto"/>
        <w:ind w:left="220" w:hanging="220"/>
      </w:pPr>
      <w:r>
        <w:rPr>
          <w:rFonts w:ascii="Noto Sans CJK KR" w:hAnsi="Noto Sans CJK KR" w:eastAsia="Noto Sans CJK KR" w:cs="Noto Sans CJK KR"/>
          <w:sz w:val="15"/>
        </w:rPr>
        <w:t>그림 6. 거품을 법으로 막을 수 있는가 — 남해회사와 초기 증권규제  42쪽</w:t>
      </w:r>
    </w:p>
    <w:p>
      <w:pPr>
        <w:pStyle w:val="aff4"/>
        <w:spacing w:after="40" w:line="240" w:lineRule="auto"/>
        <w:ind w:left="220" w:hanging="220"/>
      </w:pPr>
      <w:r>
        <w:rPr>
          <w:rFonts w:ascii="Noto Sans CJK KR" w:hAnsi="Noto Sans CJK KR" w:eastAsia="Noto Sans CJK KR" w:cs="Noto Sans CJK KR"/>
          <w:sz w:val="15"/>
        </w:rPr>
        <w:t>그림 8. 최종대부자는 누구를 살리는가 — 1866년과 배저트의 규칙  56쪽</w:t>
      </w:r>
    </w:p>
    <w:p>
      <w:pPr>
        <w:pStyle w:val="aff4"/>
        <w:spacing w:after="40" w:line="240" w:lineRule="auto"/>
        <w:ind w:left="220" w:hanging="220"/>
      </w:pPr>
      <w:r>
        <w:rPr>
          <w:rFonts w:ascii="Noto Sans CJK KR" w:hAnsi="Noto Sans CJK KR" w:eastAsia="Noto Sans CJK KR" w:cs="Noto Sans CJK KR"/>
          <w:sz w:val="15"/>
        </w:rPr>
        <w:t>그림 10. 1907년, 민간 구제의 한계 — 연방준비제도의 탄생  68쪽</w:t>
      </w:r>
    </w:p>
    <w:p>
      <w:pPr>
        <w:pStyle w:val="aff4"/>
        <w:spacing w:after="40" w:line="240" w:lineRule="auto"/>
        <w:ind w:left="220" w:hanging="220"/>
      </w:pPr>
      <w:r>
        <w:rPr>
          <w:rFonts w:ascii="Noto Sans CJK KR" w:hAnsi="Noto Sans CJK KR" w:eastAsia="Noto Sans CJK KR" w:cs="Noto Sans CJK KR"/>
          <w:sz w:val="15"/>
        </w:rPr>
        <w:t>그림 12. 페코라의 질문 — Glass–Steagall, FDIC, SEC  80쪽</w:t>
      </w:r>
    </w:p>
    <w:p>
      <w:pPr>
        <w:pStyle w:val="aff4"/>
        <w:spacing w:after="40" w:line="240" w:lineRule="auto"/>
        <w:ind w:left="220" w:hanging="220"/>
      </w:pPr>
      <w:r>
        <w:rPr>
          <w:rFonts w:ascii="Noto Sans CJK KR" w:hAnsi="Noto Sans CJK KR" w:eastAsia="Noto Sans CJK KR" w:cs="Noto Sans CJK KR"/>
          <w:sz w:val="15"/>
        </w:rPr>
        <w:t>그림 13. 브레턴우즈의 울타리 — 자본통제와 전후 금융질서  86쪽</w:t>
      </w:r>
    </w:p>
    <w:p>
      <w:pPr>
        <w:pStyle w:val="aff4"/>
        <w:spacing w:after="40" w:line="240" w:lineRule="auto"/>
        <w:ind w:left="220" w:hanging="220"/>
      </w:pPr>
      <w:r>
        <w:rPr>
          <w:rFonts w:ascii="Noto Sans CJK KR" w:hAnsi="Noto Sans CJK KR" w:eastAsia="Noto Sans CJK KR" w:cs="Noto Sans CJK KR"/>
          <w:sz w:val="15"/>
        </w:rPr>
        <w:t>그림 16. 8퍼센트라는 공용어  105쪽</w:t>
      </w:r>
    </w:p>
    <w:p>
      <w:pPr>
        <w:pStyle w:val="aff4"/>
        <w:spacing w:after="40" w:line="240" w:lineRule="auto"/>
        <w:ind w:left="220" w:hanging="220"/>
      </w:pPr>
      <w:r>
        <w:rPr>
          <w:rFonts w:ascii="Noto Sans CJK KR" w:hAnsi="Noto Sans CJK KR" w:eastAsia="Noto Sans CJK KR" w:cs="Noto Sans CJK KR"/>
          <w:sz w:val="15"/>
        </w:rPr>
        <w:t>그림 17. 하루아침에 마른 달러: 1997 아시아 위기  112쪽</w:t>
      </w:r>
    </w:p>
    <w:p>
      <w:pPr>
        <w:pStyle w:val="aff4"/>
        <w:spacing w:after="40" w:line="240" w:lineRule="auto"/>
        <w:ind w:left="220" w:hanging="220"/>
      </w:pPr>
      <w:r>
        <w:rPr>
          <w:rFonts w:ascii="Noto Sans CJK KR" w:hAnsi="Noto Sans CJK KR" w:eastAsia="Noto Sans CJK KR" w:cs="Noto Sans CJK KR"/>
          <w:sz w:val="15"/>
        </w:rPr>
        <w:t>그림 19. 일요일 밤, 구제할 수 없는 은행  124쪽</w:t>
      </w:r>
    </w:p>
    <w:p>
      <w:pPr>
        <w:pStyle w:val="aff4"/>
        <w:spacing w:after="40" w:line="240" w:lineRule="auto"/>
        <w:ind w:left="220" w:hanging="220"/>
      </w:pPr>
      <w:r>
        <w:rPr>
          <w:rFonts w:ascii="Noto Sans CJK KR" w:hAnsi="Noto Sans CJK KR" w:eastAsia="Noto Sans CJK KR" w:cs="Noto Sans CJK KR"/>
          <w:sz w:val="15"/>
        </w:rPr>
        <w:t>그림 21. 다음 위기를 상상하는 규제  137쪽</w:t>
      </w:r>
    </w:p>
    <w:p>
      <w:pPr>
        <w:pStyle w:val="aff4"/>
        <w:spacing w:after="40" w:line="240" w:lineRule="auto"/>
        <w:ind w:left="220" w:hanging="220"/>
      </w:pPr>
      <w:r>
        <w:rPr>
          <w:rFonts w:ascii="Noto Sans CJK KR" w:hAnsi="Noto Sans CJK KR" w:eastAsia="Noto Sans CJK KR" w:cs="Noto Sans CJK KR"/>
          <w:sz w:val="15"/>
        </w:rPr>
        <w:t>그림 22. 장부와 전당포의 나라 - 조선의 화폐·고리·환곡·전당 규율  146쪽</w:t>
      </w:r>
    </w:p>
    <w:p>
      <w:pPr>
        <w:pStyle w:val="aff4"/>
        <w:spacing w:after="40" w:line="240" w:lineRule="auto"/>
        <w:ind w:left="220" w:hanging="220"/>
      </w:pPr>
      <w:r>
        <w:rPr>
          <w:rFonts w:ascii="Noto Sans CJK KR" w:hAnsi="Noto Sans CJK KR" w:eastAsia="Noto Sans CJK KR" w:cs="Noto Sans CJK KR"/>
          <w:sz w:val="15"/>
        </w:rPr>
        <w:t>그림 24. 돈의 흐름을 국가가 설계하다 - 개발금융, 금리통제, 정책금융  158쪽</w:t>
      </w:r>
    </w:p>
    <w:p>
      <w:pPr>
        <w:pStyle w:val="aff4"/>
        <w:spacing w:after="40" w:line="240" w:lineRule="auto"/>
        <w:ind w:left="220" w:hanging="220"/>
      </w:pPr>
      <w:r>
        <w:rPr>
          <w:rFonts w:ascii="Noto Sans CJK KR" w:hAnsi="Noto Sans CJK KR" w:eastAsia="Noto Sans CJK KR" w:cs="Noto Sans CJK KR"/>
          <w:sz w:val="15"/>
        </w:rPr>
        <w:t>그림 28. 앱 안의 은행 - 인터넷전문은행, 오픈뱅킹, 마이데이터, 규제샌드박스  183쪽</w:t>
      </w:r>
    </w:p>
    <w:p>
      <w:pPr>
        <w:pStyle w:val="aff4"/>
        <w:spacing w:after="40" w:line="240" w:lineRule="auto"/>
        <w:ind w:left="220" w:hanging="220"/>
      </w:pPr>
      <w:r>
        <w:rPr>
          <w:rFonts w:ascii="Noto Sans CJK KR" w:hAnsi="Noto Sans CJK KR" w:eastAsia="Noto Sans CJK KR" w:cs="Noto Sans CJK KR"/>
          <w:sz w:val="15"/>
        </w:rPr>
        <w:t>그림 29. 코인은 무엇인가 - 가상자산 이용자보호, MiCA, 시장무결성  192쪽</w:t>
      </w:r>
    </w:p>
    <w:p>
      <w:pPr>
        <w:pStyle w:val="aff4"/>
        <w:spacing w:after="40" w:line="240" w:lineRule="auto"/>
        <w:ind w:left="220" w:hanging="220"/>
      </w:pPr>
      <w:r>
        <w:rPr>
          <w:rFonts w:ascii="Noto Sans CJK KR" w:hAnsi="Noto Sans CJK KR" w:eastAsia="Noto Sans CJK KR" w:cs="Noto Sans CJK KR"/>
          <w:sz w:val="15"/>
        </w:rPr>
        <w:t>그림 31. 은행의 바깥이 은행을 멈출 때 - 클라우드, 사이버, DORA, 제3자 위험  206쪽</w:t>
      </w:r>
    </w:p>
    <w:p>
      <w:pPr>
        <w:pStyle w:val="aff4"/>
        <w:spacing w:after="40" w:line="240" w:lineRule="auto"/>
        <w:ind w:left="220" w:hanging="220"/>
      </w:pPr>
      <w:r>
        <w:rPr>
          <w:rFonts w:ascii="Noto Sans CJK KR" w:hAnsi="Noto Sans CJK KR" w:eastAsia="Noto Sans CJK KR" w:cs="Noto Sans CJK KR"/>
          <w:sz w:val="15"/>
        </w:rPr>
        <w:t>그림 32. 알고리즘이 신용을 배분한다 - AI 신용평가, 편향, 설명가능성, 모델위험  213쪽</w:t>
      </w:r>
    </w:p>
    <w:p>
      <w:r>
        <w:br w:type="page"/>
      </w:r>
    </w:p>
    <w:p>
      <w:pPr>
        <w:spacing w:before="320" w:after="0"/>
      </w:pPr>
    </w:p>
    <w:p>
      <w:pPr>
        <w:pStyle w:val="aff1"/>
        <w:jc w:val="center"/>
      </w:pPr>
      <w:r>
        <w:rPr>
          <w:rFonts w:ascii="KoPubWorld바탕체_Pro Bold" w:hAnsi="KoPubWorld바탕체_Pro Bold" w:eastAsia="KoPubWorld바탕체_Pro Bold" w:cs="KoPubWorld바탕체_Pro Bold"/>
          <w:b/>
          <w:sz w:val="28"/>
        </w:rPr>
        <w:t>주</w:t>
      </w:r>
    </w:p>
    <w:p>
      <w:pPr>
        <w:spacing w:before="100" w:after="0"/>
      </w:pPr>
    </w:p>
    <w:p>
      <w:pPr>
        <w:pStyle w:val="aff4"/>
        <w:spacing w:after="30" w:line="252" w:lineRule="auto"/>
        <w:ind w:left="260" w:hanging="260"/>
      </w:pPr>
      <w:r>
        <w:rPr>
          <w:rFonts w:ascii="Noto Sans CJK KR" w:hAnsi="Noto Sans CJK KR" w:eastAsia="Noto Sans CJK KR" w:cs="Noto Sans CJK KR"/>
          <w:sz w:val="15"/>
        </w:rPr>
        <w:t>1. Walter Benjamin, Kleine Geschichte der Photographie, 1931.</w:t>
      </w:r>
    </w:p>
    <w:p>
      <w:pPr>
        <w:pStyle w:val="aff4"/>
        <w:spacing w:after="30" w:line="252" w:lineRule="auto"/>
        <w:ind w:left="260" w:hanging="260"/>
      </w:pPr>
      <w:r>
        <w:rPr>
          <w:rFonts w:ascii="Noto Sans CJK KR" w:hAnsi="Noto Sans CJK KR" w:eastAsia="Noto Sans CJK KR" w:cs="Noto Sans CJK KR"/>
          <w:sz w:val="15"/>
        </w:rPr>
        <w:t>2. Musee du Louvre, The Code of Hammurabi, {c. 1750 BCE}.</w:t>
      </w:r>
    </w:p>
    <w:p>
      <w:pPr>
        <w:pStyle w:val="aff4"/>
        <w:spacing w:after="30" w:line="252" w:lineRule="auto"/>
        <w:ind w:left="260" w:hanging="260"/>
      </w:pPr>
      <w:r>
        <w:rPr>
          <w:rFonts w:ascii="Noto Sans CJK KR" w:hAnsi="Noto Sans CJK KR" w:eastAsia="Noto Sans CJK KR" w:cs="Noto Sans CJK KR"/>
          <w:sz w:val="15"/>
        </w:rPr>
        <w:t>3. British Museum, Cuneiform Tablet: Debt Contract, Museum Number SM.957, {c. 700 BCE}.</w:t>
      </w:r>
    </w:p>
    <w:p>
      <w:pPr>
        <w:pStyle w:val="aff4"/>
        <w:spacing w:after="30" w:line="252" w:lineRule="auto"/>
        <w:ind w:left="260" w:hanging="260"/>
      </w:pPr>
      <w:r>
        <w:rPr>
          <w:rFonts w:ascii="Noto Sans CJK KR" w:hAnsi="Noto Sans CJK KR" w:eastAsia="Noto Sans CJK KR" w:cs="Noto Sans CJK KR"/>
          <w:sz w:val="15"/>
        </w:rPr>
        <w:t>4. Hammurabi, The Code of Hammurabi, {c. 1750 BCE}.</w:t>
      </w:r>
    </w:p>
    <w:p>
      <w:pPr>
        <w:pStyle w:val="aff4"/>
        <w:spacing w:after="30" w:line="252" w:lineRule="auto"/>
        <w:ind w:left="260" w:hanging="260"/>
      </w:pPr>
      <w:r>
        <w:rPr>
          <w:rFonts w:ascii="Noto Sans CJK KR" w:hAnsi="Noto Sans CJK KR" w:eastAsia="Noto Sans CJK KR" w:cs="Noto Sans CJK KR"/>
          <w:sz w:val="15"/>
        </w:rPr>
        <w:t>5. Third Lateran Council, Canon 25 on Usury, 1179.</w:t>
      </w:r>
    </w:p>
    <w:p>
      <w:pPr>
        <w:pStyle w:val="aff4"/>
        <w:spacing w:after="30" w:line="252" w:lineRule="auto"/>
        <w:ind w:left="260" w:hanging="260"/>
      </w:pPr>
      <w:r>
        <w:rPr>
          <w:rFonts w:ascii="Noto Sans CJK KR" w:hAnsi="Noto Sans CJK KR" w:eastAsia="Noto Sans CJK KR" w:cs="Noto Sans CJK KR"/>
          <w:sz w:val="15"/>
        </w:rPr>
        <w:t>6. Fourth Lateran Council, Canon 67 Concerning Usury and Jews, 1215.</w:t>
      </w:r>
    </w:p>
    <w:p>
      <w:pPr>
        <w:pStyle w:val="aff4"/>
        <w:spacing w:after="30" w:line="252" w:lineRule="auto"/>
        <w:ind w:left="260" w:hanging="260"/>
      </w:pPr>
      <w:r>
        <w:rPr>
          <w:rFonts w:ascii="Noto Sans CJK KR" w:hAnsi="Noto Sans CJK KR" w:eastAsia="Noto Sans CJK KR" w:cs="Noto Sans CJK KR"/>
          <w:sz w:val="15"/>
        </w:rPr>
        <w:t>7. UK Parliament, Key Dates: Statute of Jewry 1275, 1275.</w:t>
      </w:r>
    </w:p>
    <w:p>
      <w:pPr>
        <w:pStyle w:val="aff4"/>
        <w:spacing w:after="30" w:line="252" w:lineRule="auto"/>
        <w:ind w:left="260" w:hanging="260"/>
      </w:pPr>
      <w:r>
        <w:rPr>
          <w:rFonts w:ascii="Noto Sans CJK KR" w:hAnsi="Noto Sans CJK KR" w:eastAsia="Noto Sans CJK KR" w:cs="Noto Sans CJK KR"/>
          <w:sz w:val="15"/>
        </w:rPr>
        <w:t>8. Parliament of the United Kingdom, House of Commons Debate: Usury Laws Repeal Bill, 1819.</w:t>
      </w:r>
    </w:p>
    <w:p>
      <w:pPr>
        <w:pStyle w:val="aff4"/>
        <w:spacing w:after="30" w:line="252" w:lineRule="auto"/>
        <w:ind w:left="260" w:hanging="260"/>
      </w:pPr>
      <w:r>
        <w:rPr>
          <w:rFonts w:ascii="Noto Sans CJK KR" w:hAnsi="Noto Sans CJK KR" w:eastAsia="Noto Sans CJK KR" w:cs="Noto Sans CJK KR"/>
          <w:sz w:val="15"/>
        </w:rPr>
        <w:t>9. Benedict XIV, Vix Pervenit, 1745.</w:t>
      </w:r>
    </w:p>
    <w:p>
      <w:pPr>
        <w:pStyle w:val="aff4"/>
        <w:spacing w:after="30" w:line="252" w:lineRule="auto"/>
        <w:ind w:left="260" w:hanging="260"/>
      </w:pPr>
      <w:r>
        <w:rPr>
          <w:rFonts w:ascii="Noto Sans CJK KR" w:hAnsi="Noto Sans CJK KR" w:eastAsia="Noto Sans CJK KR" w:cs="Noto Sans CJK KR"/>
          <w:sz w:val="15"/>
        </w:rPr>
        <w:t>10. Parliament of the United Kingdom, Usury Laws Repeal Act 1854, 17 and 18 Vict. c. 90, 1854.</w:t>
      </w:r>
    </w:p>
    <w:p>
      <w:pPr>
        <w:pStyle w:val="aff4"/>
        <w:spacing w:after="30" w:line="252" w:lineRule="auto"/>
        <w:ind w:left="260" w:hanging="260"/>
      </w:pPr>
      <w:r>
        <w:rPr>
          <w:rFonts w:ascii="Noto Sans CJK KR" w:hAnsi="Noto Sans CJK KR" w:eastAsia="Noto Sans CJK KR" w:cs="Noto Sans CJK KR"/>
          <w:sz w:val="15"/>
        </w:rPr>
        <w:t>11. Alfred Kammer 외, Islamic Finance: Opportunities, Challenges, and Policy Options, 2015.</w:t>
      </w:r>
    </w:p>
    <w:p>
      <w:pPr>
        <w:pStyle w:val="aff4"/>
        <w:spacing w:after="30" w:line="252" w:lineRule="auto"/>
        <w:ind w:left="260" w:hanging="260"/>
      </w:pPr>
      <w:r>
        <w:rPr>
          <w:rFonts w:ascii="Noto Sans CJK KR" w:hAnsi="Noto Sans CJK KR" w:eastAsia="Noto Sans CJK KR" w:cs="Noto Sans CJK KR"/>
          <w:sz w:val="15"/>
        </w:rPr>
        <w:t>12. University of Oxford, The Great Recoinage of 1696, 2026.</w:t>
      </w:r>
    </w:p>
    <w:p>
      <w:pPr>
        <w:pStyle w:val="aff4"/>
        <w:spacing w:after="30" w:line="252" w:lineRule="auto"/>
        <w:ind w:left="260" w:hanging="260"/>
      </w:pPr>
      <w:r>
        <w:rPr>
          <w:rFonts w:ascii="Noto Sans CJK KR" w:hAnsi="Noto Sans CJK KR" w:eastAsia="Noto Sans CJK KR" w:cs="Noto Sans CJK KR"/>
          <w:sz w:val="15"/>
        </w:rPr>
        <w:t>13. Royal Mint Museum, Mint Editions, Issue 2: Mechanisation and the Great Recoinage, 2021.</w:t>
      </w:r>
    </w:p>
    <w:p>
      <w:pPr>
        <w:pStyle w:val="aff4"/>
        <w:spacing w:after="30" w:line="252" w:lineRule="auto"/>
        <w:ind w:left="260" w:hanging="260"/>
      </w:pPr>
      <w:r>
        <w:rPr>
          <w:rFonts w:ascii="Noto Sans CJK KR" w:hAnsi="Noto Sans CJK KR" w:eastAsia="Noto Sans CJK KR" w:cs="Noto Sans CJK KR"/>
          <w:sz w:val="15"/>
        </w:rPr>
        <w:t>14. Royal Mint Museum, Sir Isaac Newton and the Royal Mint, 2026.</w:t>
      </w:r>
    </w:p>
    <w:p>
      <w:pPr>
        <w:pStyle w:val="aff4"/>
        <w:spacing w:after="30" w:line="252" w:lineRule="auto"/>
        <w:ind w:left="260" w:hanging="260"/>
      </w:pPr>
      <w:r>
        <w:rPr>
          <w:rFonts w:ascii="Noto Sans CJK KR" w:hAnsi="Noto Sans CJK KR" w:eastAsia="Noto Sans CJK KR" w:cs="Noto Sans CJK KR"/>
          <w:sz w:val="15"/>
        </w:rPr>
        <w:t>15. Parliament of the United Kingdom, Coinage Act 1816, 56 Geo. III c. 68, 1816.</w:t>
      </w:r>
    </w:p>
    <w:p>
      <w:pPr>
        <w:pStyle w:val="aff4"/>
        <w:spacing w:after="30" w:line="252" w:lineRule="auto"/>
        <w:ind w:left="260" w:hanging="260"/>
      </w:pPr>
      <w:r>
        <w:rPr>
          <w:rFonts w:ascii="Noto Sans CJK KR" w:hAnsi="Noto Sans CJK KR" w:eastAsia="Noto Sans CJK KR" w:cs="Noto Sans CJK KR"/>
          <w:sz w:val="15"/>
        </w:rPr>
        <w:t>16. United States Constitutional Convention, Constitution of the United States: Article I, 1787.</w:t>
      </w:r>
    </w:p>
    <w:p>
      <w:pPr>
        <w:pStyle w:val="aff4"/>
        <w:spacing w:after="30" w:line="252" w:lineRule="auto"/>
        <w:ind w:left="260" w:hanging="260"/>
      </w:pPr>
      <w:r>
        <w:rPr>
          <w:rFonts w:ascii="Noto Sans CJK KR" w:hAnsi="Noto Sans CJK KR" w:eastAsia="Noto Sans CJK KR" w:cs="Noto Sans CJK KR"/>
          <w:sz w:val="15"/>
        </w:rPr>
        <w:t>17. Parliament of the United Kingdom, Bills of Exchange Act 1882, 45 and 46 Vict. c. 61, 1882.</w:t>
      </w:r>
    </w:p>
    <w:p>
      <w:pPr>
        <w:pStyle w:val="aff4"/>
        <w:spacing w:after="30" w:line="252" w:lineRule="auto"/>
        <w:ind w:left="260" w:hanging="260"/>
      </w:pPr>
      <w:r>
        <w:rPr>
          <w:rFonts w:ascii="Noto Sans CJK KR" w:hAnsi="Noto Sans CJK KR" w:eastAsia="Noto Sans CJK KR" w:cs="Noto Sans CJK KR"/>
          <w:sz w:val="15"/>
        </w:rPr>
        <w:t>18. Bank of England, The Bank of England as Lender of Last Resort: New Historical Evidence from Daily Transactional Data, 2017.</w:t>
      </w:r>
    </w:p>
    <w:p>
      <w:pPr>
        <w:pStyle w:val="aff4"/>
        <w:spacing w:after="30" w:line="252" w:lineRule="auto"/>
        <w:ind w:left="260" w:hanging="260"/>
      </w:pPr>
      <w:r>
        <w:rPr>
          <w:rFonts w:ascii="Noto Sans CJK KR" w:hAnsi="Noto Sans CJK KR" w:eastAsia="Noto Sans CJK KR" w:cs="Noto Sans CJK KR"/>
          <w:sz w:val="15"/>
        </w:rPr>
        <w:t>19. Bank of England, Bills of Exchange: Current Issues in a Historical Perspective, 1982.</w:t>
      </w:r>
    </w:p>
    <w:p>
      <w:pPr>
        <w:pStyle w:val="aff4"/>
        <w:spacing w:after="30" w:line="252" w:lineRule="auto"/>
        <w:ind w:left="260" w:hanging="260"/>
      </w:pPr>
      <w:r>
        <w:rPr>
          <w:rFonts w:ascii="Noto Sans CJK KR" w:hAnsi="Noto Sans CJK KR" w:eastAsia="Noto Sans CJK KR" w:cs="Noto Sans CJK KR"/>
          <w:sz w:val="15"/>
        </w:rPr>
        <w:t>20. Rhiannon Sowerbutts 외, The Demise of Overend Gurney, 2016.</w:t>
      </w:r>
    </w:p>
    <w:p>
      <w:pPr>
        <w:pStyle w:val="aff4"/>
        <w:spacing w:after="30" w:line="252" w:lineRule="auto"/>
        <w:ind w:left="260" w:hanging="260"/>
      </w:pPr>
      <w:r>
        <w:rPr>
          <w:rFonts w:ascii="Noto Sans CJK KR" w:hAnsi="Noto Sans CJK KR" w:eastAsia="Noto Sans CJK KR" w:cs="Noto Sans CJK KR"/>
          <w:sz w:val="15"/>
        </w:rPr>
        <w:t>21. Olaf Sleijpen, Amsterdam en De Nederlandsche Bank: een verweven geschiedenis, 2025.</w:t>
      </w:r>
    </w:p>
    <w:p>
      <w:pPr>
        <w:pStyle w:val="aff4"/>
        <w:spacing w:after="30" w:line="252" w:lineRule="auto"/>
        <w:ind w:left="260" w:hanging="260"/>
      </w:pPr>
      <w:r>
        <w:rPr>
          <w:rFonts w:ascii="Noto Sans CJK KR" w:hAnsi="Noto Sans CJK KR" w:eastAsia="Noto Sans CJK KR" w:cs="Noto Sans CJK KR"/>
          <w:sz w:val="15"/>
        </w:rPr>
        <w:t>22. Bank of England, Founding Documents of the Bank of England, 1694.</w:t>
      </w:r>
    </w:p>
    <w:p>
      <w:pPr>
        <w:pStyle w:val="aff4"/>
        <w:spacing w:after="30" w:line="252" w:lineRule="auto"/>
        <w:ind w:left="260" w:hanging="260"/>
      </w:pPr>
      <w:r>
        <w:rPr>
          <w:rFonts w:ascii="Noto Sans CJK KR" w:hAnsi="Noto Sans CJK KR" w:eastAsia="Noto Sans CJK KR" w:cs="Noto Sans CJK KR"/>
          <w:sz w:val="15"/>
        </w:rPr>
        <w:t>23. Bank of England, Details of the Bank of England Loan to the Government in 1694, 2020.</w:t>
      </w:r>
    </w:p>
    <w:p>
      <w:pPr>
        <w:pStyle w:val="aff4"/>
        <w:spacing w:after="30" w:line="252" w:lineRule="auto"/>
        <w:ind w:left="260" w:hanging="260"/>
      </w:pPr>
      <w:r>
        <w:rPr>
          <w:rFonts w:ascii="Noto Sans CJK KR" w:hAnsi="Noto Sans CJK KR" w:eastAsia="Noto Sans CJK KR" w:cs="Noto Sans CJK KR"/>
          <w:sz w:val="15"/>
        </w:rPr>
        <w:t>24. Bank of England, The Bank of England Note: A Short History, 1969.</w:t>
      </w:r>
    </w:p>
    <w:p>
      <w:pPr>
        <w:pStyle w:val="aff4"/>
        <w:spacing w:after="30" w:line="252" w:lineRule="auto"/>
        <w:ind w:left="260" w:hanging="260"/>
      </w:pPr>
      <w:r>
        <w:rPr>
          <w:rFonts w:ascii="Noto Sans CJK KR" w:hAnsi="Noto Sans CJK KR" w:eastAsia="Noto Sans CJK KR" w:cs="Noto Sans CJK KR"/>
          <w:sz w:val="15"/>
        </w:rPr>
        <w:t>25. Bank of England, History of the Bank of England: The South Sea Bubble, 2026.</w:t>
      </w:r>
    </w:p>
    <w:p>
      <w:pPr>
        <w:pStyle w:val="aff4"/>
        <w:spacing w:after="30" w:line="252" w:lineRule="auto"/>
        <w:ind w:left="260" w:hanging="260"/>
      </w:pPr>
      <w:r>
        <w:rPr>
          <w:rFonts w:ascii="Noto Sans CJK KR" w:hAnsi="Noto Sans CJK KR" w:eastAsia="Noto Sans CJK KR" w:cs="Noto Sans CJK KR"/>
          <w:sz w:val="15"/>
        </w:rPr>
        <w:t>26. Bank of England, Who Owns a Company?, 2015.</w:t>
      </w:r>
    </w:p>
    <w:p>
      <w:pPr>
        <w:pStyle w:val="aff4"/>
        <w:spacing w:after="30" w:line="252" w:lineRule="auto"/>
        <w:ind w:left="260" w:hanging="260"/>
      </w:pPr>
      <w:r>
        <w:rPr>
          <w:rFonts w:ascii="Noto Sans CJK KR" w:hAnsi="Noto Sans CJK KR" w:eastAsia="Noto Sans CJK KR" w:cs="Noto Sans CJK KR"/>
          <w:sz w:val="15"/>
        </w:rPr>
        <w:t>27. Parliament of the United Kingdom, House of Commons Debate: Repeal of the Bubble Act, 1825.</w:t>
      </w:r>
    </w:p>
    <w:p>
      <w:pPr>
        <w:pStyle w:val="aff4"/>
        <w:spacing w:after="30" w:line="252" w:lineRule="auto"/>
        <w:ind w:left="260" w:hanging="260"/>
      </w:pPr>
      <w:r>
        <w:rPr>
          <w:rFonts w:ascii="Noto Sans CJK KR" w:hAnsi="Noto Sans CJK KR" w:eastAsia="Noto Sans CJK KR" w:cs="Noto Sans CJK KR"/>
          <w:sz w:val="15"/>
        </w:rPr>
        <w:t>28. Parliament of the United Kingdom, House of Commons Debate: Joint Stock Companies, 1844.</w:t>
      </w:r>
    </w:p>
    <w:p>
      <w:pPr>
        <w:pStyle w:val="aff4"/>
        <w:spacing w:after="30" w:line="252" w:lineRule="auto"/>
        <w:ind w:left="260" w:hanging="260"/>
      </w:pPr>
      <w:r>
        <w:rPr>
          <w:rFonts w:ascii="Noto Sans CJK KR" w:hAnsi="Noto Sans CJK KR" w:eastAsia="Noto Sans CJK KR" w:cs="Noto Sans CJK KR"/>
          <w:sz w:val="15"/>
        </w:rPr>
        <w:t>29. The National Archives, Companies and Businesses: Research Guide, 2026.</w:t>
      </w:r>
    </w:p>
    <w:p>
      <w:pPr>
        <w:pStyle w:val="aff4"/>
        <w:spacing w:after="30" w:line="252" w:lineRule="auto"/>
        <w:ind w:left="260" w:hanging="260"/>
      </w:pPr>
      <w:r>
        <w:rPr>
          <w:rFonts w:ascii="Noto Sans CJK KR" w:hAnsi="Noto Sans CJK KR" w:eastAsia="Noto Sans CJK KR" w:cs="Noto Sans CJK KR"/>
          <w:sz w:val="15"/>
        </w:rPr>
        <w:t>30. Parliament of the United Kingdom, House of Lords Debate: Limited Liability Bill, 1855.</w:t>
      </w:r>
    </w:p>
    <w:p>
      <w:pPr>
        <w:pStyle w:val="aff4"/>
        <w:spacing w:after="30" w:line="252" w:lineRule="auto"/>
        <w:ind w:left="260" w:hanging="260"/>
      </w:pPr>
      <w:r>
        <w:rPr>
          <w:rFonts w:ascii="Noto Sans CJK KR" w:hAnsi="Noto Sans CJK KR" w:eastAsia="Noto Sans CJK KR" w:cs="Noto Sans CJK KR"/>
          <w:sz w:val="15"/>
        </w:rPr>
        <w:t>31. Parliament of the United Kingdom, Limited Liability Act 1855, 18 and 19 Vict. c. 133, 1855.</w:t>
      </w:r>
    </w:p>
    <w:p>
      <w:pPr>
        <w:pStyle w:val="aff4"/>
        <w:spacing w:after="30" w:line="252" w:lineRule="auto"/>
        <w:ind w:left="260" w:hanging="260"/>
      </w:pPr>
      <w:r>
        <w:rPr>
          <w:rFonts w:ascii="Noto Sans CJK KR" w:hAnsi="Noto Sans CJK KR" w:eastAsia="Noto Sans CJK KR" w:cs="Noto Sans CJK KR"/>
          <w:sz w:val="15"/>
        </w:rPr>
        <w:t>32. Parliament of the United Kingdom, Bank Charter Act 1844, 7 and 8 Vict. c. 32, 1844.</w:t>
      </w:r>
    </w:p>
    <w:p>
      <w:pPr>
        <w:pStyle w:val="aff4"/>
        <w:spacing w:after="30" w:line="252" w:lineRule="auto"/>
        <w:ind w:left="260" w:hanging="260"/>
      </w:pPr>
      <w:r>
        <w:rPr>
          <w:rFonts w:ascii="Noto Sans CJK KR" w:hAnsi="Noto Sans CJK KR" w:eastAsia="Noto Sans CJK KR" w:cs="Noto Sans CJK KR"/>
          <w:sz w:val="15"/>
        </w:rPr>
        <w:t>33. Bank of England, History of the Bank of England, 2026.</w:t>
      </w:r>
    </w:p>
    <w:p>
      <w:pPr>
        <w:pStyle w:val="aff4"/>
        <w:spacing w:after="30" w:line="252" w:lineRule="auto"/>
        <w:ind w:left="260" w:hanging="260"/>
      </w:pPr>
      <w:r>
        <w:rPr>
          <w:rFonts w:ascii="Noto Sans CJK KR" w:hAnsi="Noto Sans CJK KR" w:eastAsia="Noto Sans CJK KR" w:cs="Noto Sans CJK KR"/>
          <w:sz w:val="15"/>
        </w:rPr>
        <w:t>34. Walter Bagehot, Lombard Street: A Description of the Money Market, 1873.</w:t>
      </w:r>
    </w:p>
    <w:p>
      <w:pPr>
        <w:pStyle w:val="aff4"/>
        <w:spacing w:after="30" w:line="252" w:lineRule="auto"/>
        <w:ind w:left="260" w:hanging="260"/>
      </w:pPr>
      <w:r>
        <w:rPr>
          <w:rFonts w:ascii="Noto Sans CJK KR" w:hAnsi="Noto Sans CJK KR" w:eastAsia="Noto Sans CJK KR" w:cs="Noto Sans CJK KR"/>
          <w:sz w:val="15"/>
        </w:rPr>
        <w:t>35. Federal Reserve History, National Banking Acts of 1863 and 1864, 2022.</w:t>
      </w:r>
    </w:p>
    <w:p>
      <w:pPr>
        <w:pStyle w:val="aff4"/>
        <w:spacing w:after="30" w:line="252" w:lineRule="auto"/>
        <w:ind w:left="260" w:hanging="260"/>
      </w:pPr>
      <w:r>
        <w:rPr>
          <w:rFonts w:ascii="Noto Sans CJK KR" w:hAnsi="Noto Sans CJK KR" w:eastAsia="Noto Sans CJK KR" w:cs="Noto Sans CJK KR"/>
          <w:sz w:val="15"/>
        </w:rPr>
        <w:t>36. Federal Reserve History, Before the Fed: The Historical Precedents of the Federal Reserve System, 2015.</w:t>
      </w:r>
    </w:p>
    <w:p>
      <w:pPr>
        <w:pStyle w:val="aff4"/>
        <w:spacing w:after="30" w:line="252" w:lineRule="auto"/>
        <w:ind w:left="260" w:hanging="260"/>
      </w:pPr>
      <w:r>
        <w:rPr>
          <w:rFonts w:ascii="Noto Sans CJK KR" w:hAnsi="Noto Sans CJK KR" w:eastAsia="Noto Sans CJK KR" w:cs="Noto Sans CJK KR"/>
          <w:sz w:val="15"/>
        </w:rPr>
        <w:t>37. Office of the Comptroller of the Currency, Founding of the OCC and the National Banking System, 2026.</w:t>
      </w:r>
    </w:p>
    <w:p>
      <w:pPr>
        <w:pStyle w:val="aff4"/>
        <w:spacing w:after="30" w:line="252" w:lineRule="auto"/>
        <w:ind w:left="260" w:hanging="260"/>
      </w:pPr>
      <w:r>
        <w:rPr>
          <w:rFonts w:ascii="Noto Sans CJK KR" w:hAnsi="Noto Sans CJK KR" w:eastAsia="Noto Sans CJK KR" w:cs="Noto Sans CJK KR"/>
          <w:sz w:val="15"/>
        </w:rPr>
        <w:t>38. Federal Reserve History, Banking Panics of the Gilded Age, 2015.</w:t>
      </w:r>
    </w:p>
    <w:p>
      <w:pPr>
        <w:pStyle w:val="aff4"/>
        <w:spacing w:after="30" w:line="252" w:lineRule="auto"/>
        <w:ind w:left="260" w:hanging="260"/>
      </w:pPr>
      <w:r>
        <w:rPr>
          <w:rFonts w:ascii="Noto Sans CJK KR" w:hAnsi="Noto Sans CJK KR" w:eastAsia="Noto Sans CJK KR" w:cs="Noto Sans CJK KR"/>
          <w:sz w:val="15"/>
        </w:rPr>
        <w:t>39. Jon R. Moen 외, The Panic of 1907, 2015.</w:t>
      </w:r>
    </w:p>
    <w:p>
      <w:pPr>
        <w:pStyle w:val="aff4"/>
        <w:spacing w:after="30" w:line="252" w:lineRule="auto"/>
        <w:ind w:left="260" w:hanging="260"/>
      </w:pPr>
      <w:r>
        <w:rPr>
          <w:rFonts w:ascii="Noto Sans CJK KR" w:hAnsi="Noto Sans CJK KR" w:eastAsia="Noto Sans CJK KR" w:cs="Noto Sans CJK KR"/>
          <w:sz w:val="15"/>
        </w:rPr>
        <w:t>40. United States Congress, Federal Reserve Act, Public Law 63-43, 1913.</w:t>
      </w:r>
    </w:p>
    <w:p>
      <w:pPr>
        <w:pStyle w:val="aff4"/>
        <w:spacing w:after="30" w:line="252" w:lineRule="auto"/>
        <w:ind w:left="260" w:hanging="260"/>
      </w:pPr>
      <w:r>
        <w:rPr>
          <w:rFonts w:ascii="Noto Sans CJK KR" w:hAnsi="Noto Sans CJK KR" w:eastAsia="Noto Sans CJK KR" w:cs="Noto Sans CJK KR"/>
          <w:sz w:val="15"/>
        </w:rPr>
        <w:t>41. Federal Reserve History, Federal Reserve Act Signed into Law, 2013.</w:t>
      </w:r>
    </w:p>
    <w:p>
      <w:pPr>
        <w:pStyle w:val="aff4"/>
        <w:spacing w:after="30" w:line="252" w:lineRule="auto"/>
        <w:ind w:left="260" w:hanging="260"/>
      </w:pPr>
      <w:r>
        <w:rPr>
          <w:rFonts w:ascii="Noto Sans CJK KR" w:hAnsi="Noto Sans CJK KR" w:eastAsia="Noto Sans CJK KR" w:cs="Noto Sans CJK KR"/>
          <w:sz w:val="15"/>
        </w:rPr>
        <w:t>42. Federal Reserve History, The Meeting at Jekyll Island, 2015.</w:t>
      </w:r>
    </w:p>
    <w:p>
      <w:pPr>
        <w:pStyle w:val="aff4"/>
        <w:spacing w:after="30" w:line="252" w:lineRule="auto"/>
        <w:ind w:left="260" w:hanging="260"/>
      </w:pPr>
      <w:r>
        <w:rPr>
          <w:rFonts w:ascii="Noto Sans CJK KR" w:hAnsi="Noto Sans CJK KR" w:eastAsia="Noto Sans CJK KR" w:cs="Noto Sans CJK KR"/>
          <w:sz w:val="15"/>
        </w:rPr>
        <w:t>43. Federal Reserve History, The Fed's Structure, 2026.</w:t>
      </w:r>
    </w:p>
    <w:p>
      <w:pPr>
        <w:pStyle w:val="aff4"/>
        <w:spacing w:after="30" w:line="252" w:lineRule="auto"/>
        <w:ind w:left="260" w:hanging="260"/>
      </w:pPr>
      <w:r>
        <w:rPr>
          <w:rFonts w:ascii="Noto Sans CJK KR" w:hAnsi="Noto Sans CJK KR" w:eastAsia="Noto Sans CJK KR" w:cs="Noto Sans CJK KR"/>
          <w:sz w:val="15"/>
        </w:rPr>
        <w:t>44. Gary Richardson, The Great Depression, 2013.</w:t>
      </w:r>
    </w:p>
    <w:p>
      <w:pPr>
        <w:pStyle w:val="aff4"/>
        <w:spacing w:after="30" w:line="252" w:lineRule="auto"/>
        <w:ind w:left="260" w:hanging="260"/>
      </w:pPr>
      <w:r>
        <w:rPr>
          <w:rFonts w:ascii="Noto Sans CJK KR" w:hAnsi="Noto Sans CJK KR" w:eastAsia="Noto Sans CJK KR" w:cs="Noto Sans CJK KR"/>
          <w:sz w:val="15"/>
        </w:rPr>
        <w:t>45. Gary Richardson, Stock Market Crash of 1929, 2013.</w:t>
      </w:r>
    </w:p>
    <w:p>
      <w:pPr>
        <w:pStyle w:val="aff4"/>
        <w:spacing w:after="30" w:line="252" w:lineRule="auto"/>
        <w:ind w:left="260" w:hanging="260"/>
      </w:pPr>
      <w:r>
        <w:rPr>
          <w:rFonts w:ascii="Noto Sans CJK KR" w:hAnsi="Noto Sans CJK KR" w:eastAsia="Noto Sans CJK KR" w:cs="Noto Sans CJK KR"/>
          <w:sz w:val="15"/>
        </w:rPr>
        <w:t>46. Federal Deposit Insurance Corporation, 1930--1939: FDIC Historical Timeline, 2025.</w:t>
      </w:r>
    </w:p>
    <w:p>
      <w:pPr>
        <w:pStyle w:val="aff4"/>
        <w:spacing w:after="30" w:line="252" w:lineRule="auto"/>
        <w:ind w:left="260" w:hanging="260"/>
      </w:pPr>
      <w:r>
        <w:rPr>
          <w:rFonts w:ascii="Noto Sans CJK KR" w:hAnsi="Noto Sans CJK KR" w:eastAsia="Noto Sans CJK KR" w:cs="Noto Sans CJK KR"/>
          <w:sz w:val="15"/>
        </w:rPr>
        <w:t>47. Gary Richardson, Banking Panics of 1930--31, 2013.</w:t>
      </w:r>
    </w:p>
    <w:p>
      <w:pPr>
        <w:pStyle w:val="aff4"/>
        <w:spacing w:after="30" w:line="252" w:lineRule="auto"/>
        <w:ind w:left="260" w:hanging="260"/>
      </w:pPr>
      <w:r>
        <w:rPr>
          <w:rFonts w:ascii="Noto Sans CJK KR" w:hAnsi="Noto Sans CJK KR" w:eastAsia="Noto Sans CJK KR" w:cs="Noto Sans CJK KR"/>
          <w:sz w:val="15"/>
        </w:rPr>
        <w:t>48. Kristie M. Engemann, Banking Panics of 1931--33, 2013.</w:t>
      </w:r>
    </w:p>
    <w:p>
      <w:pPr>
        <w:pStyle w:val="aff4"/>
        <w:spacing w:after="30" w:line="252" w:lineRule="auto"/>
        <w:ind w:left="260" w:hanging="260"/>
      </w:pPr>
      <w:r>
        <w:rPr>
          <w:rFonts w:ascii="Noto Sans CJK KR" w:hAnsi="Noto Sans CJK KR" w:eastAsia="Noto Sans CJK KR" w:cs="Noto Sans CJK KR"/>
          <w:sz w:val="15"/>
        </w:rPr>
        <w:t>49. Federal Reserve History, Bank Holiday of 1933, 2013.</w:t>
      </w:r>
    </w:p>
    <w:p>
      <w:pPr>
        <w:pStyle w:val="aff4"/>
        <w:spacing w:after="30" w:line="252" w:lineRule="auto"/>
        <w:ind w:left="260" w:hanging="260"/>
      </w:pPr>
      <w:r>
        <w:rPr>
          <w:rFonts w:ascii="Noto Sans CJK KR" w:hAnsi="Noto Sans CJK KR" w:eastAsia="Noto Sans CJK KR" w:cs="Noto Sans CJK KR"/>
          <w:sz w:val="15"/>
        </w:rPr>
        <w:t>50. Federal Deposit Insurance Corporation, Chronology of Selected Banking Laws, 2025.</w:t>
      </w:r>
    </w:p>
    <w:p>
      <w:pPr>
        <w:pStyle w:val="aff4"/>
        <w:spacing w:after="30" w:line="252" w:lineRule="auto"/>
        <w:ind w:left="260" w:hanging="260"/>
      </w:pPr>
      <w:r>
        <w:rPr>
          <w:rFonts w:ascii="Noto Sans CJK KR" w:hAnsi="Noto Sans CJK KR" w:eastAsia="Noto Sans CJK KR" w:cs="Noto Sans CJK KR"/>
          <w:sz w:val="15"/>
        </w:rPr>
        <w:t>51. United States Senate Historical Office, Subcommittee on Senate Resolutions 84 and 234: The Pecora Investigation, 1934.</w:t>
      </w:r>
    </w:p>
    <w:p>
      <w:pPr>
        <w:pStyle w:val="aff4"/>
        <w:spacing w:after="30" w:line="252" w:lineRule="auto"/>
        <w:ind w:left="260" w:hanging="260"/>
      </w:pPr>
      <w:r>
        <w:rPr>
          <w:rFonts w:ascii="Noto Sans CJK KR" w:hAnsi="Noto Sans CJK KR" w:eastAsia="Noto Sans CJK KR" w:cs="Noto Sans CJK KR"/>
          <w:sz w:val="15"/>
        </w:rPr>
        <w:t>52. U.S. Securities 외, Securities Act of 1933, 1933.</w:t>
      </w:r>
    </w:p>
    <w:p>
      <w:pPr>
        <w:pStyle w:val="aff4"/>
        <w:spacing w:after="30" w:line="252" w:lineRule="auto"/>
        <w:ind w:left="260" w:hanging="260"/>
      </w:pPr>
      <w:r>
        <w:rPr>
          <w:rFonts w:ascii="Noto Sans CJK KR" w:hAnsi="Noto Sans CJK KR" w:eastAsia="Noto Sans CJK KR" w:cs="Noto Sans CJK KR"/>
          <w:sz w:val="15"/>
        </w:rPr>
        <w:t>53. U.S. Securities 외, Securities Exchange Act of 1934, 1934.</w:t>
      </w:r>
    </w:p>
    <w:p>
      <w:pPr>
        <w:pStyle w:val="aff4"/>
        <w:spacing w:after="30" w:line="252" w:lineRule="auto"/>
        <w:ind w:left="260" w:hanging="260"/>
      </w:pPr>
      <w:r>
        <w:rPr>
          <w:rFonts w:ascii="Noto Sans CJK KR" w:hAnsi="Noto Sans CJK KR" w:eastAsia="Noto Sans CJK KR" w:cs="Noto Sans CJK KR"/>
          <w:sz w:val="15"/>
        </w:rPr>
        <w:t>54. International Monetary Fund, Historical Dictionary of the IMF: Bretton Woods Conference, 2000.</w:t>
      </w:r>
    </w:p>
    <w:p>
      <w:pPr>
        <w:pStyle w:val="aff4"/>
        <w:spacing w:after="30" w:line="252" w:lineRule="auto"/>
        <w:ind w:left="260" w:hanging="260"/>
      </w:pPr>
      <w:r>
        <w:rPr>
          <w:rFonts w:ascii="Noto Sans CJK KR" w:hAnsi="Noto Sans CJK KR" w:eastAsia="Noto Sans CJK KR" w:cs="Noto Sans CJK KR"/>
          <w:sz w:val="15"/>
        </w:rPr>
        <w:t>55. Sandra Kollen Ghizoni 외, Creation and Launch of the Bretton Woods System, 2013.</w:t>
      </w:r>
    </w:p>
    <w:p>
      <w:pPr>
        <w:pStyle w:val="aff4"/>
        <w:spacing w:after="30" w:line="252" w:lineRule="auto"/>
        <w:ind w:left="260" w:hanging="260"/>
      </w:pPr>
      <w:r>
        <w:rPr>
          <w:rFonts w:ascii="Noto Sans CJK KR" w:hAnsi="Noto Sans CJK KR" w:eastAsia="Noto Sans CJK KR" w:cs="Noto Sans CJK KR"/>
          <w:sz w:val="15"/>
        </w:rPr>
        <w:t>56. International Monetary Fund, Articles of Agreement of the International Monetary Fund, 1945.</w:t>
      </w:r>
    </w:p>
    <w:p>
      <w:pPr>
        <w:pStyle w:val="aff4"/>
        <w:spacing w:after="30" w:line="252" w:lineRule="auto"/>
        <w:ind w:left="260" w:hanging="260"/>
      </w:pPr>
      <w:r>
        <w:rPr>
          <w:rFonts w:ascii="Noto Sans CJK KR" w:hAnsi="Noto Sans CJK KR" w:eastAsia="Noto Sans CJK KR" w:cs="Noto Sans CJK KR"/>
          <w:sz w:val="15"/>
        </w:rPr>
        <w:t>57. International Monetary Fund, The IMF in History: Timeline, 2026.</w:t>
      </w:r>
    </w:p>
    <w:p>
      <w:pPr>
        <w:pStyle w:val="aff4"/>
        <w:spacing w:after="30" w:line="252" w:lineRule="auto"/>
        <w:ind w:left="260" w:hanging="260"/>
      </w:pPr>
      <w:r>
        <w:rPr>
          <w:rFonts w:ascii="Noto Sans CJK KR" w:hAnsi="Noto Sans CJK KR" w:eastAsia="Noto Sans CJK KR" w:cs="Noto Sans CJK KR"/>
          <w:sz w:val="15"/>
        </w:rPr>
        <w:t>58. International Monetary Fund, Articles of Agreement, Article VI: Capital Transfers, 2020.</w:t>
      </w:r>
    </w:p>
    <w:p>
      <w:pPr>
        <w:pStyle w:val="aff4"/>
        <w:spacing w:after="30" w:line="252" w:lineRule="auto"/>
        <w:ind w:left="260" w:hanging="260"/>
      </w:pPr>
      <w:r>
        <w:rPr>
          <w:rFonts w:ascii="Noto Sans CJK KR" w:hAnsi="Noto Sans CJK KR" w:eastAsia="Noto Sans CJK KR" w:cs="Noto Sans CJK KR"/>
          <w:sz w:val="15"/>
        </w:rPr>
        <w:t>59. Federal Reserve History, Creation of the Bretton Woods System, 2013.</w:t>
      </w:r>
    </w:p>
    <w:p>
      <w:pPr>
        <w:pStyle w:val="aff4"/>
        <w:spacing w:after="30" w:line="252" w:lineRule="auto"/>
        <w:ind w:left="260" w:hanging="260"/>
      </w:pPr>
      <w:r>
        <w:rPr>
          <w:rFonts w:ascii="Noto Sans CJK KR" w:hAnsi="Noto Sans CJK KR" w:eastAsia="Noto Sans CJK KR" w:cs="Noto Sans CJK KR"/>
          <w:sz w:val="15"/>
        </w:rPr>
        <w:t>60. International Monetary Fund, Articles of Agreement of the International Monetary Fund, 1944.</w:t>
      </w:r>
    </w:p>
    <w:p>
      <w:pPr>
        <w:pStyle w:val="aff4"/>
        <w:spacing w:after="30" w:line="252" w:lineRule="auto"/>
        <w:ind w:left="260" w:hanging="260"/>
      </w:pPr>
      <w:r>
        <w:rPr>
          <w:rFonts w:ascii="Noto Sans CJK KR" w:hAnsi="Noto Sans CJK KR" w:eastAsia="Noto Sans CJK KR" w:cs="Noto Sans CJK KR"/>
          <w:sz w:val="15"/>
        </w:rPr>
        <w:t>61. Federal Reserve History, Bretton Woods System Launched, 2013.</w:t>
      </w:r>
    </w:p>
    <w:p>
      <w:pPr>
        <w:pStyle w:val="aff4"/>
        <w:spacing w:after="30" w:line="252" w:lineRule="auto"/>
        <w:ind w:left="260" w:hanging="260"/>
      </w:pPr>
      <w:r>
        <w:rPr>
          <w:rFonts w:ascii="Noto Sans CJK KR" w:hAnsi="Noto Sans CJK KR" w:eastAsia="Noto Sans CJK KR" w:cs="Noto Sans CJK KR"/>
          <w:sz w:val="15"/>
        </w:rPr>
        <w:t>62. Bank for International Settlements, The BIS and the European Payments Union, 2020.</w:t>
      </w:r>
    </w:p>
    <w:p>
      <w:pPr>
        <w:pStyle w:val="aff4"/>
        <w:spacing w:after="30" w:line="252" w:lineRule="auto"/>
        <w:ind w:left="260" w:hanging="260"/>
      </w:pPr>
      <w:r>
        <w:rPr>
          <w:rFonts w:ascii="Noto Sans CJK KR" w:hAnsi="Noto Sans CJK KR" w:eastAsia="Noto Sans CJK KR" w:cs="Noto Sans CJK KR"/>
          <w:sz w:val="15"/>
        </w:rPr>
        <w:t>63. Federal Reserve History, Treasury-Fed Accord, 2013.</w:t>
      </w:r>
    </w:p>
    <w:p>
      <w:pPr>
        <w:pStyle w:val="aff4"/>
        <w:spacing w:after="30" w:line="252" w:lineRule="auto"/>
        <w:ind w:left="260" w:hanging="260"/>
      </w:pPr>
      <w:r>
        <w:rPr>
          <w:rFonts w:ascii="Noto Sans CJK KR" w:hAnsi="Noto Sans CJK KR" w:eastAsia="Noto Sans CJK KR" w:cs="Noto Sans CJK KR"/>
          <w:sz w:val="15"/>
        </w:rPr>
        <w:t>64. McCauley, Robert N. 외, Central Bank Swaps Then and Now: Swaps and Dollar Liquidity in the 1960s, 2020.</w:t>
      </w:r>
    </w:p>
    <w:p>
      <w:pPr>
        <w:pStyle w:val="aff4"/>
        <w:spacing w:after="30" w:line="252" w:lineRule="auto"/>
        <w:ind w:left="260" w:hanging="260"/>
      </w:pPr>
      <w:r>
        <w:rPr>
          <w:rFonts w:ascii="Noto Sans CJK KR" w:hAnsi="Noto Sans CJK KR" w:eastAsia="Noto Sans CJK KR" w:cs="Noto Sans CJK KR"/>
          <w:sz w:val="15"/>
        </w:rPr>
        <w:t>65. Federal Reserve History, Gold Convertibility Ends, 2013.</w:t>
      </w:r>
    </w:p>
    <w:p>
      <w:pPr>
        <w:pStyle w:val="aff4"/>
        <w:spacing w:after="30" w:line="252" w:lineRule="auto"/>
        <w:ind w:left="260" w:hanging="260"/>
      </w:pPr>
      <w:r>
        <w:rPr>
          <w:rFonts w:ascii="Noto Sans CJK KR" w:hAnsi="Noto Sans CJK KR" w:eastAsia="Noto Sans CJK KR" w:cs="Noto Sans CJK KR"/>
          <w:sz w:val="15"/>
        </w:rPr>
        <w:t>66. International Monetary Fund, The End of Bretton Woods, 1972--74, 2012.</w:t>
      </w:r>
    </w:p>
    <w:p>
      <w:pPr>
        <w:pStyle w:val="aff4"/>
        <w:spacing w:after="30" w:line="252" w:lineRule="auto"/>
        <w:ind w:left="260" w:hanging="260"/>
      </w:pPr>
      <w:r>
        <w:rPr>
          <w:rFonts w:ascii="Noto Sans CJK KR" w:hAnsi="Noto Sans CJK KR" w:eastAsia="Noto Sans CJK KR" w:cs="Noto Sans CJK KR"/>
          <w:sz w:val="15"/>
        </w:rPr>
        <w:t>67. Bank of England, Change in the Stock Exchange and Regulation of the City, 1987.</w:t>
      </w:r>
    </w:p>
    <w:p>
      <w:pPr>
        <w:pStyle w:val="aff4"/>
        <w:spacing w:after="30" w:line="252" w:lineRule="auto"/>
        <w:ind w:left="260" w:hanging="260"/>
      </w:pPr>
      <w:r>
        <w:rPr>
          <w:rFonts w:ascii="Noto Sans CJK KR" w:hAnsi="Noto Sans CJK KR" w:eastAsia="Noto Sans CJK KR" w:cs="Noto Sans CJK KR"/>
          <w:sz w:val="15"/>
        </w:rPr>
        <w:t>68. Bank of England, City Regulation after Big Bang: Governor's Speech to the American Chamber of Commerce (UK), 1986.</w:t>
      </w:r>
    </w:p>
    <w:p>
      <w:pPr>
        <w:pStyle w:val="aff4"/>
        <w:spacing w:after="30" w:line="252" w:lineRule="auto"/>
        <w:ind w:left="260" w:hanging="260"/>
      </w:pPr>
      <w:r>
        <w:rPr>
          <w:rFonts w:ascii="Noto Sans CJK KR" w:hAnsi="Noto Sans CJK KR" w:eastAsia="Noto Sans CJK KR" w:cs="Noto Sans CJK KR"/>
          <w:sz w:val="15"/>
        </w:rPr>
        <w:t>69. United States Congress, Depository Institutions Deregulation and Monetary Control Act of 1980, Public Law 96-221, 1980.</w:t>
      </w:r>
    </w:p>
    <w:p>
      <w:pPr>
        <w:pStyle w:val="aff4"/>
        <w:spacing w:after="30" w:line="252" w:lineRule="auto"/>
        <w:ind w:left="260" w:hanging="260"/>
      </w:pPr>
      <w:r>
        <w:rPr>
          <w:rFonts w:ascii="Noto Sans CJK KR" w:hAnsi="Noto Sans CJK KR" w:eastAsia="Noto Sans CJK KR" w:cs="Noto Sans CJK KR"/>
          <w:sz w:val="15"/>
        </w:rPr>
        <w:t>70. Federal Deposit Insurance Corporation, The S&amp;L Crisis: A Chrono-Bibliography, 1999.</w:t>
      </w:r>
    </w:p>
    <w:p>
      <w:pPr>
        <w:pStyle w:val="aff4"/>
        <w:spacing w:after="30" w:line="252" w:lineRule="auto"/>
        <w:ind w:left="260" w:hanging="260"/>
      </w:pPr>
      <w:r>
        <w:rPr>
          <w:rFonts w:ascii="Noto Sans CJK KR" w:hAnsi="Noto Sans CJK KR" w:eastAsia="Noto Sans CJK KR" w:cs="Noto Sans CJK KR"/>
          <w:sz w:val="15"/>
        </w:rPr>
        <w:t>71. Parliament of the United Kingdom, Financial Services Act 1986, 1986.</w:t>
      </w:r>
    </w:p>
    <w:p>
      <w:pPr>
        <w:pStyle w:val="aff4"/>
        <w:spacing w:after="30" w:line="252" w:lineRule="auto"/>
        <w:ind w:left="260" w:hanging="260"/>
      </w:pPr>
      <w:r>
        <w:rPr>
          <w:rFonts w:ascii="Noto Sans CJK KR" w:hAnsi="Noto Sans CJK KR" w:eastAsia="Noto Sans CJK KR" w:cs="Noto Sans CJK KR"/>
          <w:sz w:val="15"/>
        </w:rPr>
        <w:t>72. Council of the European Communities, Second Council Directive 89/646/EEC on the Coordination of Laws, Regulations and Administrative Provisions Relating to the Taking Up and Pursuit of the Business of Credit Institutions, 1989.</w:t>
      </w:r>
    </w:p>
    <w:p>
      <w:pPr>
        <w:pStyle w:val="aff4"/>
        <w:spacing w:after="30" w:line="252" w:lineRule="auto"/>
        <w:ind w:left="260" w:hanging="260"/>
      </w:pPr>
      <w:r>
        <w:rPr>
          <w:rFonts w:ascii="Noto Sans CJK KR" w:hAnsi="Noto Sans CJK KR" w:eastAsia="Noto Sans CJK KR" w:cs="Noto Sans CJK KR"/>
          <w:sz w:val="15"/>
        </w:rPr>
        <w:t>73. Organisation for Economic Co-operation 외, Forty Years' Experience with the OECD Code of Liberalisation of Capital Movements, 2002.</w:t>
      </w:r>
    </w:p>
    <w:p>
      <w:pPr>
        <w:pStyle w:val="aff4"/>
        <w:spacing w:after="30" w:line="252" w:lineRule="auto"/>
        <w:ind w:left="260" w:hanging="260"/>
      </w:pPr>
      <w:r>
        <w:rPr>
          <w:rFonts w:ascii="Noto Sans CJK KR" w:hAnsi="Noto Sans CJK KR" w:eastAsia="Noto Sans CJK KR" w:cs="Noto Sans CJK KR"/>
          <w:sz w:val="15"/>
        </w:rPr>
        <w:t>74. World Trade Organization, Financial Services: Background to the 1997 Agreement, 1997.</w:t>
      </w:r>
    </w:p>
    <w:p>
      <w:pPr>
        <w:pStyle w:val="aff4"/>
        <w:spacing w:after="30" w:line="252" w:lineRule="auto"/>
        <w:ind w:left="260" w:hanging="260"/>
      </w:pPr>
      <w:r>
        <w:rPr>
          <w:rFonts w:ascii="Noto Sans CJK KR" w:hAnsi="Noto Sans CJK KR" w:eastAsia="Noto Sans CJK KR" w:cs="Noto Sans CJK KR"/>
          <w:sz w:val="15"/>
        </w:rPr>
        <w:t>75. Basel Committee on Banking Supervision, International Convergence of Capital Measurement and Capital Standards, 1988.</w:t>
      </w:r>
    </w:p>
    <w:p>
      <w:pPr>
        <w:pStyle w:val="aff4"/>
        <w:spacing w:after="30" w:line="252" w:lineRule="auto"/>
        <w:ind w:left="260" w:hanging="260"/>
      </w:pPr>
      <w:r>
        <w:rPr>
          <w:rFonts w:ascii="Noto Sans CJK KR" w:hAnsi="Noto Sans CJK KR" w:eastAsia="Noto Sans CJK KR" w:cs="Noto Sans CJK KR"/>
          <w:sz w:val="15"/>
        </w:rPr>
        <w:t>76. Basel Committee on Banking Supervision, History of the Basel Committee, 2024.</w:t>
      </w:r>
    </w:p>
    <w:p>
      <w:pPr>
        <w:pStyle w:val="aff4"/>
        <w:spacing w:after="30" w:line="252" w:lineRule="auto"/>
        <w:ind w:left="260" w:hanging="260"/>
      </w:pPr>
      <w:r>
        <w:rPr>
          <w:rFonts w:ascii="Noto Sans CJK KR" w:hAnsi="Noto Sans CJK KR" w:eastAsia="Noto Sans CJK KR" w:cs="Noto Sans CJK KR"/>
          <w:sz w:val="15"/>
        </w:rPr>
        <w:t>77. Bank for International Settlements, History: The BIS Going Global (1961-- ), 2020.</w:t>
      </w:r>
    </w:p>
    <w:p>
      <w:pPr>
        <w:pStyle w:val="aff4"/>
        <w:spacing w:after="30" w:line="252" w:lineRule="auto"/>
        <w:ind w:left="260" w:hanging="260"/>
      </w:pPr>
      <w:r>
        <w:rPr>
          <w:rFonts w:ascii="Noto Sans CJK KR" w:hAnsi="Noto Sans CJK KR" w:eastAsia="Noto Sans CJK KR" w:cs="Noto Sans CJK KR"/>
          <w:sz w:val="15"/>
        </w:rPr>
        <w:t>78. Basel Committee on Banking Supervision, The Supervision of Cross-Border Banking, 1996.</w:t>
      </w:r>
    </w:p>
    <w:p>
      <w:pPr>
        <w:pStyle w:val="aff4"/>
        <w:spacing w:after="30" w:line="252" w:lineRule="auto"/>
        <w:ind w:left="260" w:hanging="260"/>
      </w:pPr>
      <w:r>
        <w:rPr>
          <w:rFonts w:ascii="Noto Sans CJK KR" w:hAnsi="Noto Sans CJK KR" w:eastAsia="Noto Sans CJK KR" w:cs="Noto Sans CJK KR"/>
          <w:sz w:val="15"/>
        </w:rPr>
        <w:t>79. United States Congress, Financial Institutions Reform, Recovery, and Enforcement Act of 1989, Public Law 101-73, 1989.</w:t>
      </w:r>
    </w:p>
    <w:p>
      <w:pPr>
        <w:pStyle w:val="aff4"/>
        <w:spacing w:after="30" w:line="252" w:lineRule="auto"/>
        <w:ind w:left="260" w:hanging="260"/>
      </w:pPr>
      <w:r>
        <w:rPr>
          <w:rFonts w:ascii="Noto Sans CJK KR" w:hAnsi="Noto Sans CJK KR" w:eastAsia="Noto Sans CJK KR" w:cs="Noto Sans CJK KR"/>
          <w:sz w:val="15"/>
        </w:rPr>
        <w:t>80. Basel Committee on Banking Supervision, Amendment to the Capital Accord to Incorporate Market Risks, 1996.</w:t>
      </w:r>
    </w:p>
    <w:p>
      <w:pPr>
        <w:pStyle w:val="aff4"/>
        <w:spacing w:after="30" w:line="252" w:lineRule="auto"/>
        <w:ind w:left="260" w:hanging="260"/>
      </w:pPr>
      <w:r>
        <w:rPr>
          <w:rFonts w:ascii="Noto Sans CJK KR" w:hAnsi="Noto Sans CJK KR" w:eastAsia="Noto Sans CJK KR" w:cs="Noto Sans CJK KR"/>
          <w:sz w:val="15"/>
        </w:rPr>
        <w:t>81. International Monetary Fund, IMF Approves Stand-by Credit for Thailand, Press Release No. 97/37, 1997.</w:t>
      </w:r>
    </w:p>
    <w:p>
      <w:pPr>
        <w:pStyle w:val="aff4"/>
        <w:spacing w:after="30" w:line="252" w:lineRule="auto"/>
        <w:ind w:left="260" w:hanging="260"/>
      </w:pPr>
      <w:r>
        <w:rPr>
          <w:rFonts w:ascii="Noto Sans CJK KR" w:hAnsi="Noto Sans CJK KR" w:eastAsia="Noto Sans CJK KR" w:cs="Noto Sans CJK KR"/>
          <w:sz w:val="15"/>
        </w:rPr>
        <w:t>82. Government of Thailand, Thailand: Letter of Intent, 1997.</w:t>
      </w:r>
    </w:p>
    <w:p>
      <w:pPr>
        <w:pStyle w:val="aff4"/>
        <w:spacing w:after="30" w:line="252" w:lineRule="auto"/>
        <w:ind w:left="260" w:hanging="260"/>
      </w:pPr>
      <w:r>
        <w:rPr>
          <w:rFonts w:ascii="Noto Sans CJK KR" w:hAnsi="Noto Sans CJK KR" w:eastAsia="Noto Sans CJK KR" w:cs="Noto Sans CJK KR"/>
          <w:sz w:val="15"/>
        </w:rPr>
        <w:t>83. Lindgren, Carl-Johan 외, Financial Sector Crisis and Restructuring: Lessons from Asia, 1999.</w:t>
      </w:r>
    </w:p>
    <w:p>
      <w:pPr>
        <w:pStyle w:val="aff4"/>
        <w:spacing w:after="30" w:line="252" w:lineRule="auto"/>
        <w:ind w:left="260" w:hanging="260"/>
      </w:pPr>
      <w:r>
        <w:rPr>
          <w:rFonts w:ascii="Noto Sans CJK KR" w:hAnsi="Noto Sans CJK KR" w:eastAsia="Noto Sans CJK KR" w:cs="Noto Sans CJK KR"/>
          <w:sz w:val="15"/>
        </w:rPr>
        <w:t>84. Government of the Republic of Korea, Korea: Letter of Intent, December 3, 1997, 1997.</w:t>
      </w:r>
    </w:p>
    <w:p>
      <w:pPr>
        <w:pStyle w:val="aff4"/>
        <w:spacing w:after="30" w:line="252" w:lineRule="auto"/>
        <w:ind w:left="260" w:hanging="260"/>
      </w:pPr>
      <w:r>
        <w:rPr>
          <w:rFonts w:ascii="Noto Sans CJK KR" w:hAnsi="Noto Sans CJK KR" w:eastAsia="Noto Sans CJK KR" w:cs="Noto Sans CJK KR"/>
          <w:sz w:val="15"/>
        </w:rPr>
        <w:t>85. International Monetary Fund, IMF Approves Stand-by Credit for Korea, Press Release No. 97/55, 1997.</w:t>
      </w:r>
    </w:p>
    <w:p>
      <w:pPr>
        <w:pStyle w:val="aff4"/>
        <w:spacing w:after="30" w:line="252" w:lineRule="auto"/>
        <w:ind w:left="260" w:hanging="260"/>
      </w:pPr>
      <w:r>
        <w:rPr>
          <w:rFonts w:ascii="Noto Sans CJK KR" w:hAnsi="Noto Sans CJK KR" w:eastAsia="Noto Sans CJK KR" w:cs="Noto Sans CJK KR"/>
          <w:sz w:val="15"/>
        </w:rPr>
        <w:t>86. Government of the Republic of Korea, Korea: Letter of Intent, December 24, 1997, 1997.</w:t>
      </w:r>
    </w:p>
    <w:p>
      <w:pPr>
        <w:pStyle w:val="aff4"/>
        <w:spacing w:after="30" w:line="252" w:lineRule="auto"/>
        <w:ind w:left="260" w:hanging="260"/>
      </w:pPr>
      <w:r>
        <w:rPr>
          <w:rFonts w:ascii="Noto Sans CJK KR" w:hAnsi="Noto Sans CJK KR" w:eastAsia="Noto Sans CJK KR" w:cs="Noto Sans CJK KR"/>
          <w:sz w:val="15"/>
        </w:rPr>
        <w:t>87. Independent Evaluation Office of the International Monetary Fund, The IMF and Recent Capital Account Crises: Indonesia, Korea, Brazil, 2003.</w:t>
      </w:r>
    </w:p>
    <w:p>
      <w:pPr>
        <w:pStyle w:val="aff4"/>
        <w:spacing w:after="30" w:line="252" w:lineRule="auto"/>
        <w:ind w:left="260" w:hanging="260"/>
      </w:pPr>
      <w:r>
        <w:rPr>
          <w:rFonts w:ascii="Noto Sans CJK KR" w:hAnsi="Noto Sans CJK KR" w:eastAsia="Noto Sans CJK KR" w:cs="Noto Sans CJK KR"/>
          <w:sz w:val="15"/>
        </w:rPr>
        <w:t>88. Bank for International Settlements, Promoting Sound Financial Standards and Regulations, 2020.</w:t>
      </w:r>
    </w:p>
    <w:p>
      <w:pPr>
        <w:pStyle w:val="aff4"/>
        <w:spacing w:after="30" w:line="252" w:lineRule="auto"/>
        <w:ind w:left="260" w:hanging="260"/>
      </w:pPr>
      <w:r>
        <w:rPr>
          <w:rFonts w:ascii="Noto Sans CJK KR" w:hAnsi="Noto Sans CJK KR" w:eastAsia="Noto Sans CJK KR" w:cs="Noto Sans CJK KR"/>
          <w:sz w:val="15"/>
        </w:rPr>
        <w:t>89. Financial Supervisory Commission of the Republic of Korea, FSC Press Release upon Ailing Bank Resolution, 1998.</w:t>
      </w:r>
    </w:p>
    <w:p>
      <w:pPr>
        <w:pStyle w:val="aff4"/>
        <w:spacing w:after="30" w:line="252" w:lineRule="auto"/>
        <w:ind w:left="260" w:hanging="260"/>
      </w:pPr>
      <w:r>
        <w:rPr>
          <w:rFonts w:ascii="Noto Sans CJK KR" w:hAnsi="Noto Sans CJK KR" w:eastAsia="Noto Sans CJK KR" w:cs="Noto Sans CJK KR"/>
          <w:sz w:val="15"/>
        </w:rPr>
        <w:t>90. Basel Committee on Banking Supervision, Basel II: International Convergence of Capital Measurement and Capital Standards: A Revised Framework, Comprehensive Version, 2006.</w:t>
      </w:r>
    </w:p>
    <w:p>
      <w:pPr>
        <w:pStyle w:val="aff4"/>
        <w:spacing w:after="30" w:line="252" w:lineRule="auto"/>
        <w:ind w:left="260" w:hanging="260"/>
      </w:pPr>
      <w:r>
        <w:rPr>
          <w:rFonts w:ascii="Noto Sans CJK KR" w:hAnsi="Noto Sans CJK KR" w:eastAsia="Noto Sans CJK KR" w:cs="Noto Sans CJK KR"/>
          <w:sz w:val="15"/>
        </w:rPr>
        <w:t>91. Greenspan, Alan, Testimony on Private-Sector Refinancing of the Large Hedge Fund Long-Term Capital Management, 1998.</w:t>
      </w:r>
    </w:p>
    <w:p>
      <w:pPr>
        <w:pStyle w:val="aff4"/>
        <w:spacing w:after="30" w:line="252" w:lineRule="auto"/>
        <w:ind w:left="260" w:hanging="260"/>
      </w:pPr>
      <w:r>
        <w:rPr>
          <w:rFonts w:ascii="Noto Sans CJK KR" w:hAnsi="Noto Sans CJK KR" w:eastAsia="Noto Sans CJK KR" w:cs="Noto Sans CJK KR"/>
          <w:sz w:val="15"/>
        </w:rPr>
        <w:t>92. President's Working Group on Financial Markets, Hedge Funds, Leverage, and the Lessons of Long-Term Capital Management, 1999.</w:t>
      </w:r>
    </w:p>
    <w:p>
      <w:pPr>
        <w:pStyle w:val="aff4"/>
        <w:spacing w:after="30" w:line="252" w:lineRule="auto"/>
        <w:ind w:left="260" w:hanging="260"/>
      </w:pPr>
      <w:r>
        <w:rPr>
          <w:rFonts w:ascii="Noto Sans CJK KR" w:hAnsi="Noto Sans CJK KR" w:eastAsia="Noto Sans CJK KR" w:cs="Noto Sans CJK KR"/>
          <w:sz w:val="15"/>
        </w:rPr>
        <w:t>93. United States Congress, Gramm-Leach-Bliley Act, Public Law 106-102, 1999.</w:t>
      </w:r>
    </w:p>
    <w:p>
      <w:pPr>
        <w:pStyle w:val="aff4"/>
        <w:spacing w:after="30" w:line="252" w:lineRule="auto"/>
        <w:ind w:left="260" w:hanging="260"/>
      </w:pPr>
      <w:r>
        <w:rPr>
          <w:rFonts w:ascii="Noto Sans CJK KR" w:hAnsi="Noto Sans CJK KR" w:eastAsia="Noto Sans CJK KR" w:cs="Noto Sans CJK KR"/>
          <w:sz w:val="15"/>
        </w:rPr>
        <w:t>94. United States Securities 외, Chairman Cox Announces End of Consolidated Supervised Entities Program, 2008.</w:t>
      </w:r>
    </w:p>
    <w:p>
      <w:pPr>
        <w:pStyle w:val="aff4"/>
        <w:spacing w:after="30" w:line="252" w:lineRule="auto"/>
        <w:ind w:left="260" w:hanging="260"/>
      </w:pPr>
      <w:r>
        <w:rPr>
          <w:rFonts w:ascii="Noto Sans CJK KR" w:hAnsi="Noto Sans CJK KR" w:eastAsia="Noto Sans CJK KR" w:cs="Noto Sans CJK KR"/>
          <w:sz w:val="15"/>
        </w:rPr>
        <w:t>95. United States Congress, Commodity Futures Modernization Act of 2000, Enacted in Public Law 106-554, 2000.</w:t>
      </w:r>
    </w:p>
    <w:p>
      <w:pPr>
        <w:pStyle w:val="aff4"/>
        <w:spacing w:after="30" w:line="252" w:lineRule="auto"/>
        <w:ind w:left="260" w:hanging="260"/>
      </w:pPr>
      <w:r>
        <w:rPr>
          <w:rFonts w:ascii="Noto Sans CJK KR" w:hAnsi="Noto Sans CJK KR" w:eastAsia="Noto Sans CJK KR" w:cs="Noto Sans CJK KR"/>
          <w:sz w:val="15"/>
        </w:rPr>
        <w:t>96. United States Congress, Credit Rating Agency Reform Act of 2006, Public Law 109-291, 2006.</w:t>
      </w:r>
    </w:p>
    <w:p>
      <w:pPr>
        <w:pStyle w:val="aff4"/>
        <w:spacing w:after="30" w:line="252" w:lineRule="auto"/>
        <w:ind w:left="260" w:hanging="260"/>
      </w:pPr>
      <w:r>
        <w:rPr>
          <w:rFonts w:ascii="Noto Sans CJK KR" w:hAnsi="Noto Sans CJK KR" w:eastAsia="Noto Sans CJK KR" w:cs="Noto Sans CJK KR"/>
          <w:sz w:val="15"/>
        </w:rPr>
        <w:t>97. Financial Stability Board, Shadow Banking: Strengthening Oversight and Regulation, 2011.</w:t>
      </w:r>
    </w:p>
    <w:p>
      <w:pPr>
        <w:pStyle w:val="aff4"/>
        <w:spacing w:after="30" w:line="252" w:lineRule="auto"/>
        <w:ind w:left="260" w:hanging="260"/>
      </w:pPr>
      <w:r>
        <w:rPr>
          <w:rFonts w:ascii="Noto Sans CJK KR" w:hAnsi="Noto Sans CJK KR" w:eastAsia="Noto Sans CJK KR" w:cs="Noto Sans CJK KR"/>
          <w:sz w:val="15"/>
        </w:rPr>
        <w:t>98. Financial Crisis Inquiry Commission, The Financial Crisis Inquiry Report, 2011.</w:t>
      </w:r>
    </w:p>
    <w:p>
      <w:pPr>
        <w:pStyle w:val="aff4"/>
        <w:spacing w:after="30" w:line="252" w:lineRule="auto"/>
        <w:ind w:left="260" w:hanging="260"/>
      </w:pPr>
      <w:r>
        <w:rPr>
          <w:rFonts w:ascii="Noto Sans CJK KR" w:hAnsi="Noto Sans CJK KR" w:eastAsia="Noto Sans CJK KR" w:cs="Noto Sans CJK KR"/>
          <w:sz w:val="15"/>
        </w:rPr>
        <w:t>99. Federal Reserve History, The Great Recession and Its Aftermath, 2013.</w:t>
      </w:r>
    </w:p>
    <w:p>
      <w:pPr>
        <w:pStyle w:val="aff4"/>
        <w:spacing w:after="30" w:line="252" w:lineRule="auto"/>
        <w:ind w:left="260" w:hanging="260"/>
      </w:pPr>
      <w:r>
        <w:rPr>
          <w:rFonts w:ascii="Noto Sans CJK KR" w:hAnsi="Noto Sans CJK KR" w:eastAsia="Noto Sans CJK KR" w:cs="Noto Sans CJK KR"/>
          <w:sz w:val="15"/>
        </w:rPr>
        <w:t>100. Federal Reserve History, Federal Reserve Support for Specific Institutions, 2015.</w:t>
      </w:r>
    </w:p>
    <w:p>
      <w:pPr>
        <w:pStyle w:val="aff4"/>
        <w:spacing w:after="30" w:line="252" w:lineRule="auto"/>
        <w:ind w:left="260" w:hanging="260"/>
      </w:pPr>
      <w:r>
        <w:rPr>
          <w:rFonts w:ascii="Noto Sans CJK KR" w:hAnsi="Noto Sans CJK KR" w:eastAsia="Noto Sans CJK KR" w:cs="Noto Sans CJK KR"/>
          <w:sz w:val="15"/>
        </w:rPr>
        <w:t>101. Board of Governors of the Federal Reserve System, Federal Reserve Board, with the Full Support of the Treasury Department, Authorizes the Federal Reserve Bank of New York to Lend Up to 85 Billion Dollars to the American International Group, 2008.</w:t>
      </w:r>
    </w:p>
    <w:p>
      <w:pPr>
        <w:pStyle w:val="aff4"/>
        <w:spacing w:after="30" w:line="252" w:lineRule="auto"/>
        <w:ind w:left="260" w:hanging="260"/>
      </w:pPr>
      <w:r>
        <w:rPr>
          <w:rFonts w:ascii="Noto Sans CJK KR" w:hAnsi="Noto Sans CJK KR" w:eastAsia="Noto Sans CJK KR" w:cs="Noto Sans CJK KR"/>
          <w:sz w:val="15"/>
        </w:rPr>
        <w:t>102. Schapiro, Mary L., Testimony on Money Market Fund Reform, 2012.</w:t>
      </w:r>
    </w:p>
    <w:p>
      <w:pPr>
        <w:pStyle w:val="aff4"/>
        <w:spacing w:after="30" w:line="252" w:lineRule="auto"/>
        <w:ind w:left="260" w:hanging="260"/>
      </w:pPr>
      <w:r>
        <w:rPr>
          <w:rFonts w:ascii="Noto Sans CJK KR" w:hAnsi="Noto Sans CJK KR" w:eastAsia="Noto Sans CJK KR" w:cs="Noto Sans CJK KR"/>
          <w:sz w:val="15"/>
        </w:rPr>
        <w:t>103. Group of Twenty, Declaration of the Summit on Financial Markets and the World Economy, 2008.</w:t>
      </w:r>
    </w:p>
    <w:p>
      <w:pPr>
        <w:pStyle w:val="aff4"/>
        <w:spacing w:after="30" w:line="252" w:lineRule="auto"/>
        <w:ind w:left="260" w:hanging="260"/>
      </w:pPr>
      <w:r>
        <w:rPr>
          <w:rFonts w:ascii="Noto Sans CJK KR" w:hAnsi="Noto Sans CJK KR" w:eastAsia="Noto Sans CJK KR" w:cs="Noto Sans CJK KR"/>
          <w:sz w:val="15"/>
        </w:rPr>
        <w:t>104. United States Congress, Emergency Economic Stabilization Act of 2008, Public Law 110-343, 2008.</w:t>
      </w:r>
    </w:p>
    <w:p>
      <w:pPr>
        <w:pStyle w:val="aff4"/>
        <w:spacing w:after="30" w:line="252" w:lineRule="auto"/>
        <w:ind w:left="260" w:hanging="260"/>
      </w:pPr>
      <w:r>
        <w:rPr>
          <w:rFonts w:ascii="Noto Sans CJK KR" w:hAnsi="Noto Sans CJK KR" w:eastAsia="Noto Sans CJK KR" w:cs="Noto Sans CJK KR"/>
          <w:sz w:val="15"/>
        </w:rPr>
        <w:t>105. United States Department of the Treasury, Treasury Announces TARP Capital Purchase Program Description, 2008.</w:t>
      </w:r>
    </w:p>
    <w:p>
      <w:pPr>
        <w:pStyle w:val="aff4"/>
        <w:spacing w:after="30" w:line="252" w:lineRule="auto"/>
        <w:ind w:left="260" w:hanging="260"/>
      </w:pPr>
      <w:r>
        <w:rPr>
          <w:rFonts w:ascii="Noto Sans CJK KR" w:hAnsi="Noto Sans CJK KR" w:eastAsia="Noto Sans CJK KR" w:cs="Noto Sans CJK KR"/>
          <w:sz w:val="15"/>
        </w:rPr>
        <w:t>106. Federal Deposit Insurance Corporation, Temporary Liquidity Guarantee Program, 2008.</w:t>
      </w:r>
    </w:p>
    <w:p>
      <w:pPr>
        <w:pStyle w:val="aff4"/>
        <w:spacing w:after="30" w:line="252" w:lineRule="auto"/>
        <w:ind w:left="260" w:hanging="260"/>
      </w:pPr>
      <w:r>
        <w:rPr>
          <w:rFonts w:ascii="Noto Sans CJK KR" w:hAnsi="Noto Sans CJK KR" w:eastAsia="Noto Sans CJK KR" w:cs="Noto Sans CJK KR"/>
          <w:sz w:val="15"/>
        </w:rPr>
        <w:t>107. Office of Inspector General, Board of Governors of the Federal Reserve System, The Federal Reserve's Section 13(3) Lending Facilities to Support Overall Market Liquidity: Function, Status, and Risk Management, 2010.</w:t>
      </w:r>
    </w:p>
    <w:p>
      <w:pPr>
        <w:pStyle w:val="aff4"/>
        <w:spacing w:after="30" w:line="252" w:lineRule="auto"/>
        <w:ind w:left="260" w:hanging="260"/>
      </w:pPr>
      <w:r>
        <w:rPr>
          <w:rFonts w:ascii="Noto Sans CJK KR" w:hAnsi="Noto Sans CJK KR" w:eastAsia="Noto Sans CJK KR" w:cs="Noto Sans CJK KR"/>
          <w:sz w:val="15"/>
        </w:rPr>
        <w:t>108. Board of Governors of the Federal Reserve System, Federal Reserve, OCC, and FDIC Release Results of the Supervisory Capital Assessment Program, 2009.</w:t>
      </w:r>
    </w:p>
    <w:p>
      <w:pPr>
        <w:pStyle w:val="aff4"/>
        <w:spacing w:after="30" w:line="252" w:lineRule="auto"/>
        <w:ind w:left="260" w:hanging="260"/>
      </w:pPr>
      <w:r>
        <w:rPr>
          <w:rFonts w:ascii="Noto Sans CJK KR" w:hAnsi="Noto Sans CJK KR" w:eastAsia="Noto Sans CJK KR" w:cs="Noto Sans CJK KR"/>
          <w:sz w:val="15"/>
        </w:rPr>
        <w:t>109. Group of Twenty, Declaration on Strengthening the Financial System, London Summit, 2009.</w:t>
      </w:r>
    </w:p>
    <w:p>
      <w:pPr>
        <w:pStyle w:val="aff4"/>
        <w:spacing w:after="30" w:line="252" w:lineRule="auto"/>
        <w:ind w:left="260" w:hanging="260"/>
      </w:pPr>
      <w:r>
        <w:rPr>
          <w:rFonts w:ascii="Noto Sans CJK KR" w:hAnsi="Noto Sans CJK KR" w:eastAsia="Noto Sans CJK KR" w:cs="Noto Sans CJK KR"/>
          <w:sz w:val="15"/>
        </w:rPr>
        <w:t>110. United States Congress, Dodd-Frank Wall Street Reform and Consumer Protection Act, Public Law 111-203, 2010.</w:t>
      </w:r>
    </w:p>
    <w:p>
      <w:pPr>
        <w:pStyle w:val="aff4"/>
        <w:spacing w:after="30" w:line="252" w:lineRule="auto"/>
        <w:ind w:left="260" w:hanging="260"/>
      </w:pPr>
      <w:r>
        <w:rPr>
          <w:rFonts w:ascii="Noto Sans CJK KR" w:hAnsi="Noto Sans CJK KR" w:eastAsia="Noto Sans CJK KR" w:cs="Noto Sans CJK KR"/>
          <w:sz w:val="15"/>
        </w:rPr>
        <w:t>111. Federal Deposit Insurance Corporation, Resolution Authority, 2025.</w:t>
      </w:r>
    </w:p>
    <w:p>
      <w:pPr>
        <w:pStyle w:val="aff4"/>
        <w:spacing w:after="30" w:line="252" w:lineRule="auto"/>
        <w:ind w:left="260" w:hanging="260"/>
      </w:pPr>
      <w:r>
        <w:rPr>
          <w:rFonts w:ascii="Noto Sans CJK KR" w:hAnsi="Noto Sans CJK KR" w:eastAsia="Noto Sans CJK KR" w:cs="Noto Sans CJK KR"/>
          <w:sz w:val="15"/>
        </w:rPr>
        <w:t>112. Consumer Financial Protection Bureau, Building the CFPB: A Progress Report, 2011.</w:t>
      </w:r>
    </w:p>
    <w:p>
      <w:pPr>
        <w:pStyle w:val="aff4"/>
        <w:spacing w:after="30" w:line="252" w:lineRule="auto"/>
        <w:ind w:left="260" w:hanging="260"/>
      </w:pPr>
      <w:r>
        <w:rPr>
          <w:rFonts w:ascii="Noto Sans CJK KR" w:hAnsi="Noto Sans CJK KR" w:eastAsia="Noto Sans CJK KR" w:cs="Noto Sans CJK KR"/>
          <w:sz w:val="15"/>
        </w:rPr>
        <w:t>113. United States Government Accountability Office, Dodd-Frank Regulations: Impacts on Community Banks, Credit Unions and Systemically Important Institutions, 2015.</w:t>
      </w:r>
    </w:p>
    <w:p>
      <w:pPr>
        <w:pStyle w:val="aff4"/>
        <w:spacing w:after="30" w:line="252" w:lineRule="auto"/>
        <w:ind w:left="260" w:hanging="260"/>
      </w:pPr>
      <w:r>
        <w:rPr>
          <w:rFonts w:ascii="Noto Sans CJK KR" w:hAnsi="Noto Sans CJK KR" w:eastAsia="Noto Sans CJK KR" w:cs="Noto Sans CJK KR"/>
          <w:sz w:val="15"/>
        </w:rPr>
        <w:t>114. United States Government Accountability Office, Community Banks: Effect of Regulations on Small Business Lending and Institutions Appears Modest, but Lending Data Could Be Improved, 2018.</w:t>
      </w:r>
    </w:p>
    <w:p>
      <w:pPr>
        <w:pStyle w:val="aff4"/>
        <w:spacing w:after="30" w:line="252" w:lineRule="auto"/>
        <w:ind w:left="260" w:hanging="260"/>
      </w:pPr>
      <w:r>
        <w:rPr>
          <w:rFonts w:ascii="Noto Sans CJK KR" w:hAnsi="Noto Sans CJK KR" w:eastAsia="Noto Sans CJK KR" w:cs="Noto Sans CJK KR"/>
          <w:sz w:val="15"/>
        </w:rPr>
        <w:t>115. United States Congress, Economic Growth, Regulatory Relief, and Consumer Protection Act, Public Law 115-174, 2018.</w:t>
      </w:r>
    </w:p>
    <w:p>
      <w:pPr>
        <w:pStyle w:val="aff4"/>
        <w:spacing w:after="30" w:line="252" w:lineRule="auto"/>
        <w:ind w:left="260" w:hanging="260"/>
      </w:pPr>
      <w:r>
        <w:rPr>
          <w:rFonts w:ascii="Noto Sans CJK KR" w:hAnsi="Noto Sans CJK KR" w:eastAsia="Noto Sans CJK KR" w:cs="Noto Sans CJK KR"/>
          <w:sz w:val="15"/>
        </w:rPr>
        <w:t>116. Basel Committee on Banking Supervision, Basel III: A Global Regulatory Framework for More Resilient Banks and Banking Systems, Revised Version, 2011.</w:t>
      </w:r>
    </w:p>
    <w:p>
      <w:pPr>
        <w:pStyle w:val="aff4"/>
        <w:spacing w:after="30" w:line="252" w:lineRule="auto"/>
        <w:ind w:left="260" w:hanging="260"/>
      </w:pPr>
      <w:r>
        <w:rPr>
          <w:rFonts w:ascii="Noto Sans CJK KR" w:hAnsi="Noto Sans CJK KR" w:eastAsia="Noto Sans CJK KR" w:cs="Noto Sans CJK KR"/>
          <w:sz w:val="15"/>
        </w:rPr>
        <w:t>117. Basel Committee on Banking Supervision, Basel III: The Liquidity Coverage Ratio and Liquidity Risk Monitoring Tools, 2013.</w:t>
      </w:r>
    </w:p>
    <w:p>
      <w:pPr>
        <w:pStyle w:val="aff4"/>
        <w:spacing w:after="30" w:line="252" w:lineRule="auto"/>
        <w:ind w:left="260" w:hanging="260"/>
      </w:pPr>
      <w:r>
        <w:rPr>
          <w:rFonts w:ascii="Noto Sans CJK KR" w:hAnsi="Noto Sans CJK KR" w:eastAsia="Noto Sans CJK KR" w:cs="Noto Sans CJK KR"/>
          <w:sz w:val="15"/>
        </w:rPr>
        <w:t>118. Basel Committee on Banking Supervision, Basel III: The Net Stable Funding Ratio, 2014.</w:t>
      </w:r>
    </w:p>
    <w:p>
      <w:pPr>
        <w:pStyle w:val="aff4"/>
        <w:spacing w:after="30" w:line="252" w:lineRule="auto"/>
        <w:ind w:left="260" w:hanging="260"/>
      </w:pPr>
      <w:r>
        <w:rPr>
          <w:rFonts w:ascii="Noto Sans CJK KR" w:hAnsi="Noto Sans CJK KR" w:eastAsia="Noto Sans CJK KR" w:cs="Noto Sans CJK KR"/>
          <w:sz w:val="15"/>
        </w:rPr>
        <w:t>119. Basel Committee on Banking Supervision, Report on the 2023 Banking Turmoil, 2023.</w:t>
      </w:r>
    </w:p>
    <w:p>
      <w:pPr>
        <w:pStyle w:val="aff4"/>
        <w:spacing w:after="30" w:line="252" w:lineRule="auto"/>
        <w:ind w:left="260" w:hanging="260"/>
      </w:pPr>
      <w:r>
        <w:rPr>
          <w:rFonts w:ascii="Noto Sans CJK KR" w:hAnsi="Noto Sans CJK KR" w:eastAsia="Noto Sans CJK KR" w:cs="Noto Sans CJK KR"/>
          <w:sz w:val="15"/>
        </w:rPr>
        <w:t>120. International Monetary Fund, Macroprudential Policy: An Organizing Framework, 2011.</w:t>
      </w:r>
    </w:p>
    <w:p>
      <w:pPr>
        <w:pStyle w:val="aff4"/>
        <w:spacing w:after="30" w:line="252" w:lineRule="auto"/>
        <w:ind w:left="260" w:hanging="260"/>
      </w:pPr>
      <w:r>
        <w:rPr>
          <w:rFonts w:ascii="Noto Sans CJK KR" w:hAnsi="Noto Sans CJK KR" w:eastAsia="Noto Sans CJK KR" w:cs="Noto Sans CJK KR"/>
          <w:sz w:val="15"/>
        </w:rPr>
        <w:t>121. Basel Committee on Banking Supervision, Guidance for National Authorities Operating the Countercyclical Capital Buffer, 2010.</w:t>
      </w:r>
    </w:p>
    <w:p>
      <w:pPr>
        <w:pStyle w:val="aff4"/>
        <w:spacing w:after="30" w:line="252" w:lineRule="auto"/>
        <w:ind w:left="260" w:hanging="260"/>
      </w:pPr>
      <w:r>
        <w:rPr>
          <w:rFonts w:ascii="Noto Sans CJK KR" w:hAnsi="Noto Sans CJK KR" w:eastAsia="Noto Sans CJK KR" w:cs="Noto Sans CJK KR"/>
          <w:sz w:val="15"/>
        </w:rPr>
        <w:t>122. Financial Stability Board, Key Attributes of Effective Resolution Regimes for Financial Institutions, 2011.</w:t>
      </w:r>
    </w:p>
    <w:p>
      <w:pPr>
        <w:pStyle w:val="aff4"/>
        <w:spacing w:after="30" w:line="252" w:lineRule="auto"/>
        <w:ind w:left="260" w:hanging="260"/>
      </w:pPr>
      <w:r>
        <w:rPr>
          <w:rFonts w:ascii="Noto Sans CJK KR" w:hAnsi="Noto Sans CJK KR" w:eastAsia="Noto Sans CJK KR" w:cs="Noto Sans CJK KR"/>
          <w:sz w:val="15"/>
        </w:rPr>
        <w:t>123. Financial Stability Board, Principles on Loss-Absorbing and Recapitalisation Capacity of G-SIBs in Resolution: Total Loss-Absorbing Capacity Term Sheet, 2015.</w:t>
      </w:r>
    </w:p>
    <w:p>
      <w:pPr>
        <w:pStyle w:val="aff4"/>
        <w:spacing w:after="30" w:line="252" w:lineRule="auto"/>
        <w:ind w:left="260" w:hanging="260"/>
      </w:pPr>
      <w:r>
        <w:rPr>
          <w:rFonts w:ascii="Noto Sans CJK KR" w:hAnsi="Noto Sans CJK KR" w:eastAsia="Noto Sans CJK KR" w:cs="Noto Sans CJK KR"/>
          <w:sz w:val="15"/>
        </w:rPr>
        <w:t>124. Basel Committee on Banking Supervision, Basel III: Finalising Post-Crisis Reforms, 2017.</w:t>
      </w:r>
    </w:p>
    <w:p>
      <w:pPr>
        <w:pStyle w:val="aff4"/>
        <w:spacing w:after="30" w:line="252" w:lineRule="auto"/>
        <w:ind w:left="260" w:hanging="260"/>
      </w:pPr>
      <w:r>
        <w:rPr>
          <w:rFonts w:ascii="Noto Sans CJK KR" w:hAnsi="Noto Sans CJK KR" w:eastAsia="Noto Sans CJK KR" w:cs="Noto Sans CJK KR"/>
          <w:sz w:val="15"/>
        </w:rPr>
        <w:t>125. Basel Committee on Banking Supervision, RCAP on Timeliness: Basel III Implementation Dashboard, 2025.</w:t>
      </w:r>
    </w:p>
    <w:p>
      <w:pPr>
        <w:pStyle w:val="aff4"/>
        <w:spacing w:after="30" w:line="252" w:lineRule="auto"/>
        <w:ind w:left="260" w:hanging="260"/>
      </w:pPr>
      <w:r>
        <w:rPr>
          <w:rFonts w:ascii="Noto Sans CJK KR" w:hAnsi="Noto Sans CJK KR" w:eastAsia="Noto Sans CJK KR" w:cs="Noto Sans CJK KR"/>
          <w:sz w:val="15"/>
        </w:rPr>
        <w:t>126. Board of Governors of the Federal Reserve System, Review of the Federal Reserve's Supervision and Regulation of Silicon Valley Bank, 2023.</w:t>
      </w:r>
    </w:p>
    <w:p>
      <w:pPr>
        <w:pStyle w:val="aff4"/>
        <w:spacing w:after="30" w:line="252" w:lineRule="auto"/>
        <w:ind w:left="260" w:hanging="260"/>
      </w:pPr>
      <w:r>
        <w:rPr>
          <w:rFonts w:ascii="Noto Sans CJK KR" w:hAnsi="Noto Sans CJK KR" w:eastAsia="Noto Sans CJK KR" w:cs="Noto Sans CJK KR"/>
          <w:sz w:val="15"/>
        </w:rPr>
        <w:t>127. United States Department of the Treasury 외, Joint Statement by Treasury, Federal Reserve, and FDIC, 2023.</w:t>
      </w:r>
    </w:p>
    <w:p>
      <w:pPr>
        <w:pStyle w:val="aff4"/>
        <w:spacing w:after="30" w:line="252" w:lineRule="auto"/>
        <w:ind w:left="260" w:hanging="260"/>
      </w:pPr>
      <w:r>
        <w:rPr>
          <w:rFonts w:ascii="Noto Sans CJK KR" w:hAnsi="Noto Sans CJK KR" w:eastAsia="Noto Sans CJK KR" w:cs="Noto Sans CJK KR"/>
          <w:sz w:val="15"/>
        </w:rPr>
        <w:t>128. Swiss Financial Market Supervisory Authority, FINMA Report on Credit Suisse: Lessons Learned, 2023.</w:t>
      </w:r>
    </w:p>
    <w:p>
      <w:pPr>
        <w:pStyle w:val="aff4"/>
        <w:spacing w:after="30" w:line="252" w:lineRule="auto"/>
        <w:ind w:left="260" w:hanging="260"/>
      </w:pPr>
      <w:r>
        <w:rPr>
          <w:rFonts w:ascii="Noto Sans CJK KR" w:hAnsi="Noto Sans CJK KR" w:eastAsia="Noto Sans CJK KR" w:cs="Noto Sans CJK KR"/>
          <w:sz w:val="15"/>
        </w:rPr>
        <w:t>129. 한국은행 화폐박물관, 한국의 화폐: 당백전, 2026.</w:t>
      </w:r>
    </w:p>
    <w:p>
      <w:pPr>
        <w:pStyle w:val="aff4"/>
        <w:spacing w:after="30" w:line="252" w:lineRule="auto"/>
        <w:ind w:left="260" w:hanging="260"/>
      </w:pPr>
      <w:r>
        <w:rPr>
          <w:rFonts w:ascii="Noto Sans CJK KR" w:hAnsi="Noto Sans CJK KR" w:eastAsia="Noto Sans CJK KR" w:cs="Noto Sans CJK KR"/>
          <w:sz w:val="15"/>
        </w:rPr>
        <w:t>130. 한국은행 화폐박물관, 한국은행 화폐박물관 30선: 상평통보, 2026.</w:t>
      </w:r>
    </w:p>
    <w:p>
      <w:pPr>
        <w:pStyle w:val="aff4"/>
        <w:spacing w:after="30" w:line="252" w:lineRule="auto"/>
        <w:ind w:left="260" w:hanging="260"/>
      </w:pPr>
      <w:r>
        <w:rPr>
          <w:rFonts w:ascii="Noto Sans CJK KR" w:hAnsi="Noto Sans CJK KR" w:eastAsia="Noto Sans CJK KR" w:cs="Noto Sans CJK KR"/>
          <w:sz w:val="15"/>
        </w:rPr>
        <w:t>131. 한국은행 화폐박물관, 상평통보 갤러리, 2026.</w:t>
      </w:r>
    </w:p>
    <w:p>
      <w:pPr>
        <w:pStyle w:val="aff4"/>
        <w:spacing w:after="30" w:line="252" w:lineRule="auto"/>
        <w:ind w:left="260" w:hanging="260"/>
      </w:pPr>
      <w:r>
        <w:rPr>
          <w:rFonts w:ascii="Noto Sans CJK KR" w:hAnsi="Noto Sans CJK KR" w:eastAsia="Noto Sans CJK KR" w:cs="Noto Sans CJK KR"/>
          <w:sz w:val="15"/>
        </w:rPr>
        <w:t>132. 국사편찬위원회, 중종실록 1517년 12월 17일 기사: 일본일리 원칙, 1517.</w:t>
      </w:r>
    </w:p>
    <w:p>
      <w:pPr>
        <w:pStyle w:val="aff4"/>
        <w:spacing w:after="30" w:line="252" w:lineRule="auto"/>
        <w:ind w:left="260" w:hanging="260"/>
      </w:pPr>
      <w:r>
        <w:rPr>
          <w:rFonts w:ascii="Noto Sans CJK KR" w:hAnsi="Noto Sans CJK KR" w:eastAsia="Noto Sans CJK KR" w:cs="Noto Sans CJK KR"/>
          <w:sz w:val="15"/>
        </w:rPr>
        <w:t>133. 국사편찬위원회, 환곡의 이자와 운영 원리, 2026.</w:t>
      </w:r>
    </w:p>
    <w:p>
      <w:pPr>
        <w:pStyle w:val="aff4"/>
        <w:spacing w:after="30" w:line="252" w:lineRule="auto"/>
        <w:ind w:left="260" w:hanging="260"/>
      </w:pPr>
      <w:r>
        <w:rPr>
          <w:rFonts w:ascii="Noto Sans CJK KR" w:hAnsi="Noto Sans CJK KR" w:eastAsia="Noto Sans CJK KR" w:cs="Noto Sans CJK KR"/>
          <w:sz w:val="15"/>
        </w:rPr>
        <w:t>134. 국사편찬위원회, 조선 후기 환곡 운영과 개혁론, 2026.</w:t>
      </w:r>
    </w:p>
    <w:p>
      <w:pPr>
        <w:pStyle w:val="aff4"/>
        <w:spacing w:after="30" w:line="252" w:lineRule="auto"/>
        <w:ind w:left="260" w:hanging="260"/>
      </w:pPr>
      <w:r>
        <w:rPr>
          <w:rFonts w:ascii="Noto Sans CJK KR" w:hAnsi="Noto Sans CJK KR" w:eastAsia="Noto Sans CJK KR" w:cs="Noto Sans CJK KR"/>
          <w:sz w:val="15"/>
        </w:rPr>
        <w:t>135. 국사편찬위원회, 개항기 전당포와 고리대금업, 2026.</w:t>
      </w:r>
    </w:p>
    <w:p>
      <w:pPr>
        <w:pStyle w:val="aff4"/>
        <w:spacing w:after="30" w:line="252" w:lineRule="auto"/>
        <w:ind w:left="260" w:hanging="260"/>
      </w:pPr>
      <w:r>
        <w:rPr>
          <w:rFonts w:ascii="Noto Sans CJK KR" w:hAnsi="Noto Sans CJK KR" w:eastAsia="Noto Sans CJK KR" w:cs="Noto Sans CJK KR"/>
          <w:sz w:val="15"/>
        </w:rPr>
        <w:t>136. 한국은행 디지털아카이브, 구 한국은행의 설립과 업무 개시, 1909.</w:t>
      </w:r>
    </w:p>
    <w:p>
      <w:pPr>
        <w:pStyle w:val="aff4"/>
        <w:spacing w:after="30" w:line="252" w:lineRule="auto"/>
        <w:ind w:left="260" w:hanging="260"/>
      </w:pPr>
      <w:r>
        <w:rPr>
          <w:rFonts w:ascii="Noto Sans CJK KR" w:hAnsi="Noto Sans CJK KR" w:eastAsia="Noto Sans CJK KR" w:cs="Noto Sans CJK KR"/>
          <w:sz w:val="15"/>
        </w:rPr>
        <w:t>137. 한국은행 화폐박물관, 개항기 화폐제도와 1894년 신식화폐발행장정·1901년 화폐조례, 2026.</w:t>
      </w:r>
    </w:p>
    <w:p>
      <w:pPr>
        <w:pStyle w:val="aff4"/>
        <w:spacing w:after="30" w:line="252" w:lineRule="auto"/>
        <w:ind w:left="260" w:hanging="260"/>
      </w:pPr>
      <w:r>
        <w:rPr>
          <w:rFonts w:ascii="Noto Sans CJK KR" w:hAnsi="Noto Sans CJK KR" w:eastAsia="Noto Sans CJK KR" w:cs="Noto Sans CJK KR"/>
          <w:sz w:val="15"/>
        </w:rPr>
        <w:t>138. 국사편찬위원회, 1905년 화폐정리사업, 2026.</w:t>
      </w:r>
    </w:p>
    <w:p>
      <w:pPr>
        <w:pStyle w:val="aff4"/>
        <w:spacing w:after="30" w:line="252" w:lineRule="auto"/>
        <w:ind w:left="260" w:hanging="260"/>
      </w:pPr>
      <w:r>
        <w:rPr>
          <w:rFonts w:ascii="Noto Sans CJK KR" w:hAnsi="Noto Sans CJK KR" w:eastAsia="Noto Sans CJK KR" w:cs="Noto Sans CJK KR"/>
          <w:sz w:val="15"/>
        </w:rPr>
        <w:t>139. 국가기록원, 조선은행법(법률 제48호), 1911.</w:t>
      </w:r>
    </w:p>
    <w:p>
      <w:pPr>
        <w:pStyle w:val="aff4"/>
        <w:spacing w:after="30" w:line="252" w:lineRule="auto"/>
        <w:ind w:left="260" w:hanging="260"/>
      </w:pPr>
      <w:r>
        <w:rPr>
          <w:rFonts w:ascii="Noto Sans CJK KR" w:hAnsi="Noto Sans CJK KR" w:eastAsia="Noto Sans CJK KR" w:cs="Noto Sans CJK KR"/>
          <w:sz w:val="15"/>
        </w:rPr>
        <w:t>140. 국가기록원, 조선 은행령과 1928년 개정, 1928.</w:t>
      </w:r>
    </w:p>
    <w:p>
      <w:pPr>
        <w:pStyle w:val="aff4"/>
        <w:spacing w:after="30" w:line="252" w:lineRule="auto"/>
        <w:ind w:left="260" w:hanging="260"/>
      </w:pPr>
      <w:r>
        <w:rPr>
          <w:rFonts w:ascii="Noto Sans CJK KR" w:hAnsi="Noto Sans CJK KR" w:eastAsia="Noto Sans CJK KR" w:cs="Noto Sans CJK KR"/>
          <w:sz w:val="15"/>
        </w:rPr>
        <w:t>141. 한국은행, 조선은행권과 전시 금융, 2017.</w:t>
      </w:r>
    </w:p>
    <w:p>
      <w:pPr>
        <w:pStyle w:val="aff4"/>
        <w:spacing w:after="30" w:line="252" w:lineRule="auto"/>
        <w:ind w:left="260" w:hanging="260"/>
      </w:pPr>
      <w:r>
        <w:rPr>
          <w:rFonts w:ascii="Noto Sans CJK KR" w:hAnsi="Noto Sans CJK KR" w:eastAsia="Noto Sans CJK KR" w:cs="Noto Sans CJK KR"/>
          <w:sz w:val="15"/>
        </w:rPr>
        <w:t>142. 한국은행, 한국은행법의 변천: 1950년 제정과 한국은행 설립, 2026.</w:t>
      </w:r>
    </w:p>
    <w:p>
      <w:pPr>
        <w:pStyle w:val="aff4"/>
        <w:spacing w:after="30" w:line="252" w:lineRule="auto"/>
        <w:ind w:left="260" w:hanging="260"/>
      </w:pPr>
      <w:r>
        <w:rPr>
          <w:rFonts w:ascii="Noto Sans CJK KR" w:hAnsi="Noto Sans CJK KR" w:eastAsia="Noto Sans CJK KR" w:cs="Noto Sans CJK KR"/>
          <w:sz w:val="15"/>
        </w:rPr>
        <w:t>143. 국가법령정보센터, 은행법 제정·개정이유(법률 제139호), 1950.</w:t>
      </w:r>
    </w:p>
    <w:p>
      <w:pPr>
        <w:pStyle w:val="aff4"/>
        <w:spacing w:after="30" w:line="252" w:lineRule="auto"/>
        <w:ind w:left="260" w:hanging="260"/>
      </w:pPr>
      <w:r>
        <w:rPr>
          <w:rFonts w:ascii="Noto Sans CJK KR" w:hAnsi="Noto Sans CJK KR" w:eastAsia="Noto Sans CJK KR" w:cs="Noto Sans CJK KR"/>
          <w:sz w:val="15"/>
        </w:rPr>
        <w:t>144. 한국은행, 한국은행법의 변천: 1962년 제1차 개정, 2026.</w:t>
      </w:r>
    </w:p>
    <w:p>
      <w:pPr>
        <w:pStyle w:val="aff4"/>
        <w:spacing w:after="30" w:line="252" w:lineRule="auto"/>
        <w:ind w:left="260" w:hanging="260"/>
      </w:pPr>
      <w:r>
        <w:rPr>
          <w:rFonts w:ascii="Noto Sans CJK KR" w:hAnsi="Noto Sans CJK KR" w:eastAsia="Noto Sans CJK KR" w:cs="Noto Sans CJK KR"/>
          <w:sz w:val="15"/>
        </w:rPr>
        <w:t>145. 한국은행, 1962년 긴급통화조치와 원화 체계, 2026.</w:t>
      </w:r>
    </w:p>
    <w:p>
      <w:pPr>
        <w:pStyle w:val="aff4"/>
        <w:spacing w:after="30" w:line="252" w:lineRule="auto"/>
        <w:ind w:left="260" w:hanging="260"/>
      </w:pPr>
      <w:r>
        <w:rPr>
          <w:rFonts w:ascii="Noto Sans CJK KR" w:hAnsi="Noto Sans CJK KR" w:eastAsia="Noto Sans CJK KR" w:cs="Noto Sans CJK KR"/>
          <w:sz w:val="15"/>
        </w:rPr>
        <w:t>146. 국가법령정보센터, 긴급통화조치법(법률 제1088호), 1962.</w:t>
      </w:r>
    </w:p>
    <w:p>
      <w:pPr>
        <w:pStyle w:val="aff4"/>
        <w:spacing w:after="30" w:line="252" w:lineRule="auto"/>
        <w:ind w:left="260" w:hanging="260"/>
      </w:pPr>
      <w:r>
        <w:rPr>
          <w:rFonts w:ascii="Noto Sans CJK KR" w:hAnsi="Noto Sans CJK KR" w:eastAsia="Noto Sans CJK KR" w:cs="Noto Sans CJK KR"/>
          <w:sz w:val="15"/>
        </w:rPr>
        <w:t>147. 한국산업은행, 한국산업은행 소개와 설립 목적, 2026.</w:t>
      </w:r>
    </w:p>
    <w:p>
      <w:pPr>
        <w:pStyle w:val="aff4"/>
        <w:spacing w:after="30" w:line="252" w:lineRule="auto"/>
        <w:ind w:left="260" w:hanging="260"/>
      </w:pPr>
      <w:r>
        <w:rPr>
          <w:rFonts w:ascii="Noto Sans CJK KR" w:hAnsi="Noto Sans CJK KR" w:eastAsia="Noto Sans CJK KR" w:cs="Noto Sans CJK KR"/>
          <w:sz w:val="15"/>
        </w:rPr>
        <w:t>148. 법제처, 금융기관에 대한 임시조치법의 연혁, 2006.</w:t>
      </w:r>
    </w:p>
    <w:p>
      <w:pPr>
        <w:pStyle w:val="aff4"/>
        <w:spacing w:after="30" w:line="252" w:lineRule="auto"/>
        <w:ind w:left="260" w:hanging="260"/>
      </w:pPr>
      <w:r>
        <w:rPr>
          <w:rFonts w:ascii="Noto Sans CJK KR" w:hAnsi="Noto Sans CJK KR" w:eastAsia="Noto Sans CJK KR" w:cs="Noto Sans CJK KR"/>
          <w:sz w:val="15"/>
        </w:rPr>
        <w:t>149. 국가법령정보센터, 이자제한법 제정문(법률 제971호), 1962.</w:t>
      </w:r>
    </w:p>
    <w:p>
      <w:pPr>
        <w:pStyle w:val="aff4"/>
        <w:spacing w:after="30" w:line="252" w:lineRule="auto"/>
        <w:ind w:left="260" w:hanging="260"/>
      </w:pPr>
      <w:r>
        <w:rPr>
          <w:rFonts w:ascii="Noto Sans CJK KR" w:hAnsi="Noto Sans CJK KR" w:eastAsia="Noto Sans CJK KR" w:cs="Noto Sans CJK KR"/>
          <w:sz w:val="15"/>
        </w:rPr>
        <w:t>150. 국가기록원, 1972년 8·3 긴급금융조치와 특별금융조치, 1972.</w:t>
      </w:r>
    </w:p>
    <w:p>
      <w:pPr>
        <w:pStyle w:val="aff4"/>
        <w:spacing w:after="30" w:line="252" w:lineRule="auto"/>
        <w:ind w:left="260" w:hanging="260"/>
      </w:pPr>
      <w:r>
        <w:rPr>
          <w:rFonts w:ascii="Noto Sans CJK KR" w:hAnsi="Noto Sans CJK KR" w:eastAsia="Noto Sans CJK KR" w:cs="Noto Sans CJK KR"/>
          <w:sz w:val="15"/>
        </w:rPr>
        <w:t>151. 국가법령정보센터, 경제의 안정과 성장에 관한 긴급명령(대통령긴급명령 제15호), 1972.</w:t>
      </w:r>
    </w:p>
    <w:p>
      <w:pPr>
        <w:pStyle w:val="aff4"/>
        <w:spacing w:after="30" w:line="252" w:lineRule="auto"/>
        <w:ind w:left="260" w:hanging="260"/>
      </w:pPr>
      <w:r>
        <w:rPr>
          <w:rFonts w:ascii="Noto Sans CJK KR" w:hAnsi="Noto Sans CJK KR" w:eastAsia="Noto Sans CJK KR" w:cs="Noto Sans CJK KR"/>
          <w:sz w:val="15"/>
        </w:rPr>
        <w:t>152. 국가법령정보센터, 금융실명거래에 관한 법률(법률 제3607호), 1982.</w:t>
      </w:r>
    </w:p>
    <w:p>
      <w:pPr>
        <w:pStyle w:val="aff4"/>
        <w:spacing w:after="30" w:line="252" w:lineRule="auto"/>
        <w:ind w:left="260" w:hanging="260"/>
      </w:pPr>
      <w:r>
        <w:rPr>
          <w:rFonts w:ascii="Noto Sans CJK KR" w:hAnsi="Noto Sans CJK KR" w:eastAsia="Noto Sans CJK KR" w:cs="Noto Sans CJK KR"/>
          <w:sz w:val="15"/>
        </w:rPr>
        <w:t>153. 국가기록원, 1993년 금융실명제 실시, 1993.</w:t>
      </w:r>
    </w:p>
    <w:p>
      <w:pPr>
        <w:pStyle w:val="aff4"/>
        <w:spacing w:after="30" w:line="252" w:lineRule="auto"/>
        <w:ind w:left="260" w:hanging="260"/>
      </w:pPr>
      <w:r>
        <w:rPr>
          <w:rFonts w:ascii="Noto Sans CJK KR" w:hAnsi="Noto Sans CJK KR" w:eastAsia="Noto Sans CJK KR" w:cs="Noto Sans CJK KR"/>
          <w:sz w:val="15"/>
        </w:rPr>
        <w:t>154. 한국은행, 금리자유화 추진 경과, 2004.</w:t>
      </w:r>
    </w:p>
    <w:p>
      <w:pPr>
        <w:pStyle w:val="aff4"/>
        <w:spacing w:after="30" w:line="252" w:lineRule="auto"/>
        <w:ind w:left="260" w:hanging="260"/>
      </w:pPr>
      <w:r>
        <w:rPr>
          <w:rFonts w:ascii="Noto Sans CJK KR" w:hAnsi="Noto Sans CJK KR" w:eastAsia="Noto Sans CJK KR" w:cs="Noto Sans CJK KR"/>
          <w:sz w:val="15"/>
        </w:rPr>
        <w:t>155. 한국은행, 한국의 금융자유화와 금융위기(조사연구자료 99-3), 1999.</w:t>
      </w:r>
    </w:p>
    <w:p>
      <w:pPr>
        <w:pStyle w:val="aff4"/>
        <w:spacing w:after="30" w:line="252" w:lineRule="auto"/>
        <w:ind w:left="260" w:hanging="260"/>
      </w:pPr>
      <w:r>
        <w:rPr>
          <w:rFonts w:ascii="Noto Sans CJK KR" w:hAnsi="Noto Sans CJK KR" w:eastAsia="Noto Sans CJK KR" w:cs="Noto Sans CJK KR"/>
          <w:sz w:val="15"/>
        </w:rPr>
        <w:t>156. 한국은행, 1997년 11월 금융·외환위기 일지, 1997.</w:t>
      </w:r>
    </w:p>
    <w:p>
      <w:pPr>
        <w:pStyle w:val="aff4"/>
        <w:spacing w:after="30" w:line="252" w:lineRule="auto"/>
        <w:ind w:left="260" w:hanging="260"/>
      </w:pPr>
      <w:r>
        <w:rPr>
          <w:rFonts w:ascii="Noto Sans CJK KR" w:hAnsi="Noto Sans CJK KR" w:eastAsia="Noto Sans CJK KR" w:cs="Noto Sans CJK KR"/>
          <w:sz w:val="15"/>
        </w:rPr>
        <w:t>157. Government of the Republic of Korea 외, Korea Letter of Intent, December 3, 1997, 1997.</w:t>
      </w:r>
    </w:p>
    <w:p>
      <w:pPr>
        <w:pStyle w:val="aff4"/>
        <w:spacing w:after="30" w:line="252" w:lineRule="auto"/>
        <w:ind w:left="260" w:hanging="260"/>
      </w:pPr>
      <w:r>
        <w:rPr>
          <w:rFonts w:ascii="Noto Sans CJK KR" w:hAnsi="Noto Sans CJK KR" w:eastAsia="Noto Sans CJK KR" w:cs="Noto Sans CJK KR"/>
          <w:sz w:val="15"/>
        </w:rPr>
        <w:t>158. Government of the Republic of Korea 외, Korea Letter of Intent, December 24, 1997, 1997.</w:t>
      </w:r>
    </w:p>
    <w:p>
      <w:pPr>
        <w:pStyle w:val="aff4"/>
        <w:spacing w:after="30" w:line="252" w:lineRule="auto"/>
        <w:ind w:left="260" w:hanging="260"/>
      </w:pPr>
      <w:r>
        <w:rPr>
          <w:rFonts w:ascii="Noto Sans CJK KR" w:hAnsi="Noto Sans CJK KR" w:eastAsia="Noto Sans CJK KR" w:cs="Noto Sans CJK KR"/>
          <w:sz w:val="15"/>
        </w:rPr>
        <w:t>159. Government of the Republic of Korea 외, Korea Letter of Intent and Memorandum of Economic Policies, February 7, 1998, 1998.</w:t>
      </w:r>
    </w:p>
    <w:p>
      <w:pPr>
        <w:pStyle w:val="aff4"/>
        <w:spacing w:after="30" w:line="252" w:lineRule="auto"/>
        <w:ind w:left="260" w:hanging="260"/>
      </w:pPr>
      <w:r>
        <w:rPr>
          <w:rFonts w:ascii="Noto Sans CJK KR" w:hAnsi="Noto Sans CJK KR" w:eastAsia="Noto Sans CJK KR" w:cs="Noto Sans CJK KR"/>
          <w:sz w:val="15"/>
        </w:rPr>
        <w:t>160. 국가법령정보센터, 예금자보호법 제정·개정이유, 1995.</w:t>
      </w:r>
    </w:p>
    <w:p>
      <w:pPr>
        <w:pStyle w:val="aff4"/>
        <w:spacing w:after="30" w:line="252" w:lineRule="auto"/>
        <w:ind w:left="260" w:hanging="260"/>
      </w:pPr>
      <w:r>
        <w:rPr>
          <w:rFonts w:ascii="Noto Sans CJK KR" w:hAnsi="Noto Sans CJK KR" w:eastAsia="Noto Sans CJK KR" w:cs="Noto Sans CJK KR"/>
          <w:sz w:val="15"/>
        </w:rPr>
        <w:t>161. 금융위원회, 예금보호제도의 변천과 1997년 한시 전액보호, 2024.</w:t>
      </w:r>
    </w:p>
    <w:p>
      <w:pPr>
        <w:pStyle w:val="aff4"/>
        <w:spacing w:after="30" w:line="252" w:lineRule="auto"/>
        <w:ind w:left="260" w:hanging="260"/>
      </w:pPr>
      <w:r>
        <w:rPr>
          <w:rFonts w:ascii="Noto Sans CJK KR" w:hAnsi="Noto Sans CJK KR" w:eastAsia="Noto Sans CJK KR" w:cs="Noto Sans CJK KR"/>
          <w:sz w:val="15"/>
        </w:rPr>
        <w:t>162. 국가법령정보센터, 금융감독기구의 설치 등에 관한 법률, 1997.</w:t>
      </w:r>
    </w:p>
    <w:p>
      <w:pPr>
        <w:pStyle w:val="aff4"/>
        <w:spacing w:after="30" w:line="252" w:lineRule="auto"/>
        <w:ind w:left="260" w:hanging="260"/>
      </w:pPr>
      <w:r>
        <w:rPr>
          <w:rFonts w:ascii="Noto Sans CJK KR" w:hAnsi="Noto Sans CJK KR" w:eastAsia="Noto Sans CJK KR" w:cs="Noto Sans CJK KR"/>
          <w:sz w:val="15"/>
        </w:rPr>
        <w:t>163. 한국은행 디지털아카이브, 1997년 한국은행법 개정과 중앙은행 독립성 강화, 1997.</w:t>
      </w:r>
    </w:p>
    <w:p>
      <w:pPr>
        <w:pStyle w:val="aff4"/>
        <w:spacing w:after="30" w:line="252" w:lineRule="auto"/>
        <w:ind w:left="260" w:hanging="260"/>
      </w:pPr>
      <w:r>
        <w:rPr>
          <w:rFonts w:ascii="Noto Sans CJK KR" w:hAnsi="Noto Sans CJK KR" w:eastAsia="Noto Sans CJK KR" w:cs="Noto Sans CJK KR"/>
          <w:sz w:val="15"/>
        </w:rPr>
        <w:t>164. 금융위원회, 예금보험금 지급 현황, 1999.</w:t>
      </w:r>
    </w:p>
    <w:p>
      <w:pPr>
        <w:pStyle w:val="aff4"/>
        <w:spacing w:after="30" w:line="252" w:lineRule="auto"/>
        <w:ind w:left="260" w:hanging="260"/>
      </w:pPr>
      <w:r>
        <w:rPr>
          <w:rFonts w:ascii="Noto Sans CJK KR" w:hAnsi="Noto Sans CJK KR" w:eastAsia="Noto Sans CJK KR" w:cs="Noto Sans CJK KR"/>
          <w:sz w:val="15"/>
        </w:rPr>
        <w:t>165. 금융위원회, 예금보호한도 1억원 상향 시행 안내, 2025.</w:t>
      </w:r>
    </w:p>
    <w:p>
      <w:pPr>
        <w:pStyle w:val="aff4"/>
        <w:spacing w:after="30" w:line="252" w:lineRule="auto"/>
        <w:ind w:left="260" w:hanging="260"/>
      </w:pPr>
      <w:r>
        <w:rPr>
          <w:rFonts w:ascii="Noto Sans CJK KR" w:hAnsi="Noto Sans CJK KR" w:eastAsia="Noto Sans CJK KR" w:cs="Noto Sans CJK KR"/>
          <w:sz w:val="15"/>
        </w:rPr>
        <w:t>166. 국가법령정보센터, 금융지주회사법 제정이유(법률 제6274호), 2000.</w:t>
      </w:r>
    </w:p>
    <w:p>
      <w:pPr>
        <w:pStyle w:val="aff4"/>
        <w:spacing w:after="30" w:line="252" w:lineRule="auto"/>
        <w:ind w:left="260" w:hanging="260"/>
      </w:pPr>
      <w:r>
        <w:rPr>
          <w:rFonts w:ascii="Noto Sans CJK KR" w:hAnsi="Noto Sans CJK KR" w:eastAsia="Noto Sans CJK KR" w:cs="Noto Sans CJK KR"/>
          <w:sz w:val="15"/>
        </w:rPr>
        <w:t>167. 금융위원회, 금융위원회 소개: 설립과 기능, 2026.</w:t>
      </w:r>
    </w:p>
    <w:p>
      <w:pPr>
        <w:pStyle w:val="aff4"/>
        <w:spacing w:after="30" w:line="252" w:lineRule="auto"/>
        <w:ind w:left="260" w:hanging="260"/>
      </w:pPr>
      <w:r>
        <w:rPr>
          <w:rFonts w:ascii="Noto Sans CJK KR" w:hAnsi="Noto Sans CJK KR" w:eastAsia="Noto Sans CJK KR" w:cs="Noto Sans CJK KR"/>
          <w:sz w:val="15"/>
        </w:rPr>
        <w:t>168. 국가법령정보센터, 재정경제부 직제(대통령령 제35947호): 직무와 2026년 1월 2일 시행, 2025.</w:t>
      </w:r>
    </w:p>
    <w:p>
      <w:pPr>
        <w:pStyle w:val="aff4"/>
        <w:spacing w:after="30" w:line="252" w:lineRule="auto"/>
        <w:ind w:left="260" w:hanging="260"/>
      </w:pPr>
      <w:r>
        <w:rPr>
          <w:rFonts w:ascii="Noto Sans CJK KR" w:hAnsi="Noto Sans CJK KR" w:eastAsia="Noto Sans CJK KR" w:cs="Noto Sans CJK KR"/>
          <w:sz w:val="15"/>
        </w:rPr>
        <w:t>169. 금융위원회, 여신전문금융회사 레버리지 규제와 2003년 카드사태의 교훈, 2011.</w:t>
      </w:r>
    </w:p>
    <w:p>
      <w:pPr>
        <w:pStyle w:val="aff4"/>
        <w:spacing w:after="30" w:line="252" w:lineRule="auto"/>
        <w:ind w:left="260" w:hanging="260"/>
      </w:pPr>
      <w:r>
        <w:rPr>
          <w:rFonts w:ascii="Noto Sans CJK KR" w:hAnsi="Noto Sans CJK KR" w:eastAsia="Noto Sans CJK KR" w:cs="Noto Sans CJK KR"/>
          <w:sz w:val="15"/>
        </w:rPr>
        <w:t>170. 금융위원회, 예금보험기금 저축은행 특별계정 부채처리 방안, 2026.</w:t>
      </w:r>
    </w:p>
    <w:p>
      <w:pPr>
        <w:pStyle w:val="aff4"/>
        <w:spacing w:after="30" w:line="252" w:lineRule="auto"/>
        <w:ind w:left="260" w:hanging="260"/>
      </w:pPr>
      <w:r>
        <w:rPr>
          <w:rFonts w:ascii="Noto Sans CJK KR" w:hAnsi="Noto Sans CJK KR" w:eastAsia="Noto Sans CJK KR" w:cs="Noto Sans CJK KR"/>
          <w:sz w:val="15"/>
        </w:rPr>
        <w:t>171. 한국은행 인천본부, 경제용어: LTV와 DTI, 2016.</w:t>
      </w:r>
    </w:p>
    <w:p>
      <w:pPr>
        <w:pStyle w:val="aff4"/>
        <w:spacing w:after="30" w:line="252" w:lineRule="auto"/>
        <w:ind w:left="260" w:hanging="260"/>
      </w:pPr>
      <w:r>
        <w:rPr>
          <w:rFonts w:ascii="Noto Sans CJK KR" w:hAnsi="Noto Sans CJK KR" w:eastAsia="Noto Sans CJK KR" w:cs="Noto Sans CJK KR"/>
          <w:sz w:val="15"/>
        </w:rPr>
        <w:t>172. 김민수 외, 거시건전성 정책이 우리나라 가구의 부채 및 자산 불평등에 미친 영향, 2023.</w:t>
      </w:r>
    </w:p>
    <w:p>
      <w:pPr>
        <w:pStyle w:val="aff4"/>
        <w:spacing w:after="30" w:line="252" w:lineRule="auto"/>
        <w:ind w:left="260" w:hanging="260"/>
      </w:pPr>
      <w:r>
        <w:rPr>
          <w:rFonts w:ascii="Noto Sans CJK KR" w:hAnsi="Noto Sans CJK KR" w:eastAsia="Noto Sans CJK KR" w:cs="Noto Sans CJK KR"/>
          <w:sz w:val="15"/>
        </w:rPr>
        <w:t>173. 금융위원회, 총부채원리금상환비율(DSR) 도입과 여신심사 가이드라인, 2018.</w:t>
      </w:r>
    </w:p>
    <w:p>
      <w:pPr>
        <w:pStyle w:val="aff4"/>
        <w:spacing w:after="30" w:line="252" w:lineRule="auto"/>
        <w:ind w:left="260" w:hanging="260"/>
      </w:pPr>
      <w:r>
        <w:rPr>
          <w:rFonts w:ascii="Noto Sans CJK KR" w:hAnsi="Noto Sans CJK KR" w:eastAsia="Noto Sans CJK KR" w:cs="Noto Sans CJK KR"/>
          <w:sz w:val="15"/>
        </w:rPr>
        <w:t>174. 국가법령정보센터, 금융소비자 보호에 관한 법률, 2020.</w:t>
      </w:r>
    </w:p>
    <w:p>
      <w:pPr>
        <w:pStyle w:val="aff4"/>
        <w:spacing w:after="30" w:line="252" w:lineRule="auto"/>
        <w:ind w:left="260" w:hanging="260"/>
      </w:pPr>
      <w:r>
        <w:rPr>
          <w:rFonts w:ascii="Noto Sans CJK KR" w:hAnsi="Noto Sans CJK KR" w:eastAsia="Noto Sans CJK KR" w:cs="Noto Sans CJK KR"/>
          <w:sz w:val="15"/>
        </w:rPr>
        <w:t>175. 금융위원회, 금융소비자보호법 시행 안내, 2021.</w:t>
      </w:r>
    </w:p>
    <w:p>
      <w:pPr>
        <w:pStyle w:val="aff4"/>
        <w:spacing w:after="30" w:line="252" w:lineRule="auto"/>
        <w:ind w:left="260" w:hanging="260"/>
      </w:pPr>
      <w:r>
        <w:rPr>
          <w:rFonts w:ascii="Noto Sans CJK KR" w:hAnsi="Noto Sans CJK KR" w:eastAsia="Noto Sans CJK KR" w:cs="Noto Sans CJK KR"/>
          <w:sz w:val="15"/>
        </w:rPr>
        <w:t>176. 국가법령정보센터, 이자제한법 제정·개정이유, 2007.</w:t>
      </w:r>
    </w:p>
    <w:p>
      <w:pPr>
        <w:pStyle w:val="aff4"/>
        <w:spacing w:after="30" w:line="252" w:lineRule="auto"/>
        <w:ind w:left="260" w:hanging="260"/>
      </w:pPr>
      <w:r>
        <w:rPr>
          <w:rFonts w:ascii="Noto Sans CJK KR" w:hAnsi="Noto Sans CJK KR" w:eastAsia="Noto Sans CJK KR" w:cs="Noto Sans CJK KR"/>
          <w:sz w:val="15"/>
        </w:rPr>
        <w:t>177. 국가법령정보센터, 대부업 등의 등록 및 금융이용자 보호에 관한 법률 시행령: 최고금리 20퍼센트, 2021.</w:t>
      </w:r>
    </w:p>
    <w:p>
      <w:pPr>
        <w:pStyle w:val="aff4"/>
        <w:spacing w:after="30" w:line="252" w:lineRule="auto"/>
        <w:ind w:left="260" w:hanging="260"/>
      </w:pPr>
      <w:r>
        <w:rPr>
          <w:rFonts w:ascii="Noto Sans CJK KR" w:hAnsi="Noto Sans CJK KR" w:eastAsia="Noto Sans CJK KR" w:cs="Noto Sans CJK KR"/>
          <w:sz w:val="15"/>
        </w:rPr>
        <w:t>178. 금융위원회, 인터넷전문은행 도입 경과와 중·저신용자 대출 확대계획, 2021.</w:t>
      </w:r>
    </w:p>
    <w:p>
      <w:pPr>
        <w:pStyle w:val="aff4"/>
        <w:spacing w:after="30" w:line="252" w:lineRule="auto"/>
        <w:ind w:left="260" w:hanging="260"/>
      </w:pPr>
      <w:r>
        <w:rPr>
          <w:rFonts w:ascii="Noto Sans CJK KR" w:hAnsi="Noto Sans CJK KR" w:eastAsia="Noto Sans CJK KR" w:cs="Noto Sans CJK KR"/>
          <w:sz w:val="15"/>
        </w:rPr>
        <w:t>179. 국가법령정보센터, 전자금융거래법(법률 제7929호), 2006.</w:t>
      </w:r>
    </w:p>
    <w:p>
      <w:pPr>
        <w:pStyle w:val="aff4"/>
        <w:spacing w:after="30" w:line="252" w:lineRule="auto"/>
        <w:ind w:left="260" w:hanging="260"/>
      </w:pPr>
      <w:r>
        <w:rPr>
          <w:rFonts w:ascii="Noto Sans CJK KR" w:hAnsi="Noto Sans CJK KR" w:eastAsia="Noto Sans CJK KR" w:cs="Noto Sans CJK KR"/>
          <w:sz w:val="15"/>
        </w:rPr>
        <w:t>180. 금융위원회, 인터넷전문은행 예비인가 심사 결과, 2015.</w:t>
      </w:r>
    </w:p>
    <w:p>
      <w:pPr>
        <w:pStyle w:val="aff4"/>
        <w:spacing w:after="30" w:line="252" w:lineRule="auto"/>
        <w:ind w:left="260" w:hanging="260"/>
      </w:pPr>
      <w:r>
        <w:rPr>
          <w:rFonts w:ascii="Noto Sans CJK KR" w:hAnsi="Noto Sans CJK KR" w:eastAsia="Noto Sans CJK KR" w:cs="Noto Sans CJK KR"/>
          <w:sz w:val="15"/>
        </w:rPr>
        <w:t>181. 국가법령정보센터, 인터넷전문은행 설립 및 운영에 관한 특례법, 2018.</w:t>
      </w:r>
    </w:p>
    <w:p>
      <w:pPr>
        <w:pStyle w:val="aff4"/>
        <w:spacing w:after="30" w:line="252" w:lineRule="auto"/>
        <w:ind w:left="260" w:hanging="260"/>
      </w:pPr>
      <w:r>
        <w:rPr>
          <w:rFonts w:ascii="Noto Sans CJK KR" w:hAnsi="Noto Sans CJK KR" w:eastAsia="Noto Sans CJK KR" w:cs="Noto Sans CJK KR"/>
          <w:sz w:val="15"/>
        </w:rPr>
        <w:t>182. 국가법령정보센터, 금융혁신지원 특별법, 2018.</w:t>
      </w:r>
    </w:p>
    <w:p>
      <w:pPr>
        <w:pStyle w:val="aff4"/>
        <w:spacing w:after="30" w:line="252" w:lineRule="auto"/>
        <w:ind w:left="260" w:hanging="260"/>
      </w:pPr>
      <w:r>
        <w:rPr>
          <w:rFonts w:ascii="Noto Sans CJK KR" w:hAnsi="Noto Sans CJK KR" w:eastAsia="Noto Sans CJK KR" w:cs="Noto Sans CJK KR"/>
          <w:sz w:val="15"/>
        </w:rPr>
        <w:t>183. 금융위원회, 오픈뱅킹 추진 현황 및 향후 계획, 2019.</w:t>
      </w:r>
    </w:p>
    <w:p>
      <w:pPr>
        <w:pStyle w:val="aff4"/>
        <w:spacing w:after="30" w:line="252" w:lineRule="auto"/>
        <w:ind w:left="260" w:hanging="260"/>
      </w:pPr>
      <w:r>
        <w:rPr>
          <w:rFonts w:ascii="Noto Sans CJK KR" w:hAnsi="Noto Sans CJK KR" w:eastAsia="Noto Sans CJK KR" w:cs="Noto Sans CJK KR"/>
          <w:sz w:val="15"/>
        </w:rPr>
        <w:t>184. 금융위원회, 은행과 핀테크 기업 모두가 참여하는 오픈뱅킹 서비스 전면 시행, 2019.</w:t>
      </w:r>
    </w:p>
    <w:p>
      <w:pPr>
        <w:pStyle w:val="aff4"/>
        <w:spacing w:after="30" w:line="252" w:lineRule="auto"/>
        <w:ind w:left="260" w:hanging="260"/>
      </w:pPr>
      <w:r>
        <w:rPr>
          <w:rFonts w:ascii="Noto Sans CJK KR" w:hAnsi="Noto Sans CJK KR" w:eastAsia="Noto Sans CJK KR" w:cs="Noto Sans CJK KR"/>
          <w:sz w:val="15"/>
        </w:rPr>
        <w:t>185. 금융위원회, 데이터 3법 및 개정 신용정보법 시행, 2020.</w:t>
      </w:r>
    </w:p>
    <w:p>
      <w:pPr>
        <w:pStyle w:val="aff4"/>
        <w:spacing w:after="30" w:line="252" w:lineRule="auto"/>
        <w:ind w:left="260" w:hanging="260"/>
      </w:pPr>
      <w:r>
        <w:rPr>
          <w:rFonts w:ascii="Noto Sans CJK KR" w:hAnsi="Noto Sans CJK KR" w:eastAsia="Noto Sans CJK KR" w:cs="Noto Sans CJK KR"/>
          <w:sz w:val="15"/>
        </w:rPr>
        <w:t>186. 국가법령정보센터, 신용정보의 이용 및 보호에 관한 법률: 자동화평가에 대한 권리, 2021.</w:t>
      </w:r>
    </w:p>
    <w:p>
      <w:pPr>
        <w:pStyle w:val="aff4"/>
        <w:spacing w:after="30" w:line="252" w:lineRule="auto"/>
        <w:ind w:left="260" w:hanging="260"/>
      </w:pPr>
      <w:r>
        <w:rPr>
          <w:rFonts w:ascii="Noto Sans CJK KR" w:hAnsi="Noto Sans CJK KR" w:eastAsia="Noto Sans CJK KR" w:cs="Noto Sans CJK KR"/>
          <w:sz w:val="15"/>
        </w:rPr>
        <w:t>187. 국가법령정보센터, 가상자산 이용자 보호 등에 관한 법률, 2023.</w:t>
      </w:r>
    </w:p>
    <w:p>
      <w:pPr>
        <w:pStyle w:val="aff4"/>
        <w:spacing w:after="30" w:line="252" w:lineRule="auto"/>
        <w:ind w:left="260" w:hanging="260"/>
      </w:pPr>
      <w:r>
        <w:rPr>
          <w:rFonts w:ascii="Noto Sans CJK KR" w:hAnsi="Noto Sans CJK KR" w:eastAsia="Noto Sans CJK KR" w:cs="Noto Sans CJK KR"/>
          <w:sz w:val="15"/>
        </w:rPr>
        <w:t>188. 금융위원회, 가상자산이용자보호법 시행 안내, 2024.</w:t>
      </w:r>
    </w:p>
    <w:p>
      <w:pPr>
        <w:pStyle w:val="aff4"/>
        <w:spacing w:after="30" w:line="252" w:lineRule="auto"/>
        <w:ind w:left="260" w:hanging="260"/>
      </w:pPr>
      <w:r>
        <w:rPr>
          <w:rFonts w:ascii="Noto Sans CJK KR" w:hAnsi="Noto Sans CJK KR" w:eastAsia="Noto Sans CJK KR" w:cs="Noto Sans CJK KR"/>
          <w:sz w:val="15"/>
        </w:rPr>
        <w:t>189. 국가법령정보센터, 특정 금융거래정보의 보고 및 이용 등에 관한 법률: 가상자산사업자 규율, 2020.</w:t>
      </w:r>
    </w:p>
    <w:p>
      <w:pPr>
        <w:pStyle w:val="aff4"/>
        <w:spacing w:after="30" w:line="252" w:lineRule="auto"/>
        <w:ind w:left="260" w:hanging="260"/>
      </w:pPr>
      <w:r>
        <w:rPr>
          <w:rFonts w:ascii="Noto Sans CJK KR" w:hAnsi="Noto Sans CJK KR" w:eastAsia="Noto Sans CJK KR" w:cs="Noto Sans CJK KR"/>
          <w:sz w:val="15"/>
        </w:rPr>
        <w:t>190. 금융위원회, 가상자산사업자 신고 및 자금세탁방지 제도 시행 안내, 2021.</w:t>
      </w:r>
    </w:p>
    <w:p>
      <w:pPr>
        <w:pStyle w:val="aff4"/>
        <w:spacing w:after="30" w:line="252" w:lineRule="auto"/>
        <w:ind w:left="260" w:hanging="260"/>
      </w:pPr>
      <w:r>
        <w:rPr>
          <w:rFonts w:ascii="Noto Sans CJK KR" w:hAnsi="Noto Sans CJK KR" w:eastAsia="Noto Sans CJK KR" w:cs="Noto Sans CJK KR"/>
          <w:sz w:val="15"/>
        </w:rPr>
        <w:t>191. 금융위원회, 가상자산시장 조사규정 개정, 2026.</w:t>
      </w:r>
    </w:p>
    <w:p>
      <w:pPr>
        <w:pStyle w:val="aff4"/>
        <w:spacing w:after="30" w:line="252" w:lineRule="auto"/>
        <w:ind w:left="260" w:hanging="260"/>
      </w:pPr>
      <w:r>
        <w:rPr>
          <w:rFonts w:ascii="Noto Sans CJK KR" w:hAnsi="Noto Sans CJK KR" w:eastAsia="Noto Sans CJK KR" w:cs="Noto Sans CJK KR"/>
          <w:sz w:val="15"/>
        </w:rPr>
        <w:t>192. 금융위원회, 2026년 제1차 가상자산위원회 개최, 2026.</w:t>
      </w:r>
    </w:p>
    <w:p>
      <w:pPr>
        <w:pStyle w:val="aff4"/>
        <w:spacing w:after="30" w:line="252" w:lineRule="auto"/>
        <w:ind w:left="260" w:hanging="260"/>
      </w:pPr>
      <w:r>
        <w:rPr>
          <w:rFonts w:ascii="Noto Sans CJK KR" w:hAnsi="Noto Sans CJK KR" w:eastAsia="Noto Sans CJK KR" w:cs="Noto Sans CJK KR"/>
          <w:sz w:val="15"/>
        </w:rPr>
        <w:t>193. 금융위원회, 스테이블코인 발행주체 등 2단계법 주요내용은 확정된 바 없습니다, 2026.</w:t>
      </w:r>
    </w:p>
    <w:p>
      <w:pPr>
        <w:pStyle w:val="aff4"/>
        <w:spacing w:after="30" w:line="252" w:lineRule="auto"/>
        <w:ind w:left="260" w:hanging="260"/>
      </w:pPr>
      <w:r>
        <w:rPr>
          <w:rFonts w:ascii="Noto Sans CJK KR" w:hAnsi="Noto Sans CJK KR" w:eastAsia="Noto Sans CJK KR" w:cs="Noto Sans CJK KR"/>
          <w:sz w:val="15"/>
        </w:rPr>
        <w:t>194. 금융위원회, 스테이블코인 발행인의 주주구성 등 2단계법 주요내용은 확정된 바 없습니다, 2026.</w:t>
      </w:r>
    </w:p>
    <w:p>
      <w:pPr>
        <w:pStyle w:val="aff4"/>
        <w:spacing w:after="30" w:line="252" w:lineRule="auto"/>
        <w:ind w:left="260" w:hanging="260"/>
      </w:pPr>
      <w:r>
        <w:rPr>
          <w:rFonts w:ascii="Noto Sans CJK KR" w:hAnsi="Noto Sans CJK KR" w:eastAsia="Noto Sans CJK KR" w:cs="Noto Sans CJK KR"/>
          <w:sz w:val="15"/>
        </w:rPr>
        <w:t>195. European Parliament 외, Regulation (EU) 2023/1114 on Markets in Crypto-assets (MiCA), 2023.</w:t>
      </w:r>
    </w:p>
    <w:p>
      <w:pPr>
        <w:pStyle w:val="aff4"/>
        <w:spacing w:after="30" w:line="252" w:lineRule="auto"/>
        <w:ind w:left="260" w:hanging="260"/>
      </w:pPr>
      <w:r>
        <w:rPr>
          <w:rFonts w:ascii="Noto Sans CJK KR" w:hAnsi="Noto Sans CJK KR" w:eastAsia="Noto Sans CJK KR" w:cs="Noto Sans CJK KR"/>
          <w:sz w:val="15"/>
        </w:rPr>
        <w:t>196. European Parliament 외, MiCA Article 143: Transitional Measures, 2023.</w:t>
      </w:r>
    </w:p>
    <w:p>
      <w:pPr>
        <w:pStyle w:val="aff4"/>
        <w:spacing w:after="30" w:line="252" w:lineRule="auto"/>
        <w:ind w:left="260" w:hanging="260"/>
      </w:pPr>
      <w:r>
        <w:rPr>
          <w:rFonts w:ascii="Noto Sans CJK KR" w:hAnsi="Noto Sans CJK KR" w:eastAsia="Noto Sans CJK KR" w:cs="Noto Sans CJK KR"/>
          <w:sz w:val="15"/>
        </w:rPr>
        <w:t>197. Financial Stability Board, High-level Recommendations for the Regulation, Supervision and Oversight of Crypto-asset Activities and Markets, 2023.</w:t>
      </w:r>
    </w:p>
    <w:p>
      <w:pPr>
        <w:pStyle w:val="aff4"/>
        <w:spacing w:after="30" w:line="252" w:lineRule="auto"/>
        <w:ind w:left="260" w:hanging="260"/>
      </w:pPr>
      <w:r>
        <w:rPr>
          <w:rFonts w:ascii="Noto Sans CJK KR" w:hAnsi="Noto Sans CJK KR" w:eastAsia="Noto Sans CJK KR" w:cs="Noto Sans CJK KR"/>
          <w:sz w:val="15"/>
        </w:rPr>
        <w:t>198. Financial Stability Board, High-level Recommendations for the Regulation, Supervision and Oversight of Global Stablecoin Arrangements, 2023.</w:t>
      </w:r>
    </w:p>
    <w:p>
      <w:pPr>
        <w:pStyle w:val="aff4"/>
        <w:spacing w:after="30" w:line="252" w:lineRule="auto"/>
        <w:ind w:left="260" w:hanging="260"/>
      </w:pPr>
      <w:r>
        <w:rPr>
          <w:rFonts w:ascii="Noto Sans CJK KR" w:hAnsi="Noto Sans CJK KR" w:eastAsia="Noto Sans CJK KR" w:cs="Noto Sans CJK KR"/>
          <w:sz w:val="15"/>
        </w:rPr>
        <w:t>199. 한국은행, 디지털화폐 연구개발 현황과 프로젝트 한강, 2026.</w:t>
      </w:r>
    </w:p>
    <w:p>
      <w:pPr>
        <w:pStyle w:val="aff4"/>
        <w:spacing w:after="30" w:line="252" w:lineRule="auto"/>
        <w:ind w:left="260" w:hanging="260"/>
      </w:pPr>
      <w:r>
        <w:rPr>
          <w:rFonts w:ascii="Noto Sans CJK KR" w:hAnsi="Noto Sans CJK KR" w:eastAsia="Noto Sans CJK KR" w:cs="Noto Sans CJK KR"/>
          <w:sz w:val="15"/>
        </w:rPr>
        <w:t>200. 한국은행, 디지털화폐 테스트(프로젝트 한강) 일반 이용자 실거래 실시 계획, 2025.</w:t>
      </w:r>
    </w:p>
    <w:p>
      <w:pPr>
        <w:pStyle w:val="aff4"/>
        <w:spacing w:after="30" w:line="252" w:lineRule="auto"/>
        <w:ind w:left="260" w:hanging="260"/>
      </w:pPr>
      <w:r>
        <w:rPr>
          <w:rFonts w:ascii="Noto Sans CJK KR" w:hAnsi="Noto Sans CJK KR" w:eastAsia="Noto Sans CJK KR" w:cs="Noto Sans CJK KR"/>
          <w:sz w:val="15"/>
        </w:rPr>
        <w:t>201. 한국은행, 한국은행, 프로젝트 한강 2단계 본격 추진, 2026.</w:t>
      </w:r>
    </w:p>
    <w:p>
      <w:pPr>
        <w:pStyle w:val="aff4"/>
        <w:spacing w:after="30" w:line="252" w:lineRule="auto"/>
        <w:ind w:left="260" w:hanging="260"/>
      </w:pPr>
      <w:r>
        <w:rPr>
          <w:rFonts w:ascii="Noto Sans CJK KR" w:hAnsi="Noto Sans CJK KR" w:eastAsia="Noto Sans CJK KR" w:cs="Noto Sans CJK KR"/>
          <w:sz w:val="15"/>
        </w:rPr>
        <w:t>202. 한국은행, 청사진에서 일상으로: 미래 화폐를 현실로 옮긴 프로젝트 한강, 2026.</w:t>
      </w:r>
    </w:p>
    <w:p>
      <w:pPr>
        <w:pStyle w:val="aff4"/>
        <w:spacing w:after="30" w:line="252" w:lineRule="auto"/>
        <w:ind w:left="260" w:hanging="260"/>
      </w:pPr>
      <w:r>
        <w:rPr>
          <w:rFonts w:ascii="Noto Sans CJK KR" w:hAnsi="Noto Sans CJK KR" w:eastAsia="Noto Sans CJK KR" w:cs="Noto Sans CJK KR"/>
          <w:sz w:val="15"/>
        </w:rPr>
        <w:t>203. Bank for International Settlements, Project Agora: Central Banks and Banking Sector Embark on Major Project to Explore Tokenisation of Cross-border Payments, 2024.</w:t>
      </w:r>
    </w:p>
    <w:p>
      <w:pPr>
        <w:pStyle w:val="aff4"/>
        <w:spacing w:after="30" w:line="252" w:lineRule="auto"/>
        <w:ind w:left="260" w:hanging="260"/>
      </w:pPr>
      <w:r>
        <w:rPr>
          <w:rFonts w:ascii="Noto Sans CJK KR" w:hAnsi="Noto Sans CJK KR" w:eastAsia="Noto Sans CJK KR" w:cs="Noto Sans CJK KR"/>
          <w:sz w:val="15"/>
        </w:rPr>
        <w:t>204. Bank for International Settlements, Project Agora: Exploring Tokenisation of Wholesale Cross-border Payments, 2026.</w:t>
      </w:r>
    </w:p>
    <w:p>
      <w:pPr>
        <w:pStyle w:val="aff4"/>
        <w:spacing w:after="30" w:line="252" w:lineRule="auto"/>
        <w:ind w:left="260" w:hanging="260"/>
      </w:pPr>
      <w:r>
        <w:rPr>
          <w:rFonts w:ascii="Noto Sans CJK KR" w:hAnsi="Noto Sans CJK KR" w:eastAsia="Noto Sans CJK KR" w:cs="Noto Sans CJK KR"/>
          <w:sz w:val="15"/>
        </w:rPr>
        <w:t>205. Basel Committee on Banking Supervision, Principles for Operational Resilience, 2021.</w:t>
      </w:r>
    </w:p>
    <w:p>
      <w:pPr>
        <w:pStyle w:val="aff4"/>
        <w:spacing w:after="30" w:line="252" w:lineRule="auto"/>
        <w:ind w:left="260" w:hanging="260"/>
      </w:pPr>
      <w:r>
        <w:rPr>
          <w:rFonts w:ascii="Noto Sans CJK KR" w:hAnsi="Noto Sans CJK KR" w:eastAsia="Noto Sans CJK KR" w:cs="Noto Sans CJK KR"/>
          <w:sz w:val="15"/>
        </w:rPr>
        <w:t>206. 금융위원회, 금융분야 망분리 개선 로드맵, 2024.</w:t>
      </w:r>
    </w:p>
    <w:p>
      <w:pPr>
        <w:pStyle w:val="aff4"/>
        <w:spacing w:after="30" w:line="252" w:lineRule="auto"/>
        <w:ind w:left="260" w:hanging="260"/>
      </w:pPr>
      <w:r>
        <w:rPr>
          <w:rFonts w:ascii="Noto Sans CJK KR" w:hAnsi="Noto Sans CJK KR" w:eastAsia="Noto Sans CJK KR" w:cs="Noto Sans CJK KR"/>
          <w:sz w:val="15"/>
        </w:rPr>
        <w:t>207. 국가법령정보센터, 전자금융감독규정, 2026.</w:t>
      </w:r>
    </w:p>
    <w:p>
      <w:pPr>
        <w:pStyle w:val="aff4"/>
        <w:spacing w:after="30" w:line="252" w:lineRule="auto"/>
        <w:ind w:left="260" w:hanging="260"/>
      </w:pPr>
      <w:r>
        <w:rPr>
          <w:rFonts w:ascii="Noto Sans CJK KR" w:hAnsi="Noto Sans CJK KR" w:eastAsia="Noto Sans CJK KR" w:cs="Noto Sans CJK KR"/>
          <w:sz w:val="15"/>
        </w:rPr>
        <w:t>208. European Parliament 외, Regulation (EU) 2022/2554 on Digital Operational Resilience for the Financial Sector, 2022.</w:t>
      </w:r>
    </w:p>
    <w:p>
      <w:pPr>
        <w:pStyle w:val="aff4"/>
        <w:spacing w:after="30" w:line="252" w:lineRule="auto"/>
        <w:ind w:left="260" w:hanging="260"/>
      </w:pPr>
      <w:r>
        <w:rPr>
          <w:rFonts w:ascii="Noto Sans CJK KR" w:hAnsi="Noto Sans CJK KR" w:eastAsia="Noto Sans CJK KR" w:cs="Noto Sans CJK KR"/>
          <w:sz w:val="15"/>
        </w:rPr>
        <w:t>209. European Commission, Digital Finance: DORA Standards and Application, 2024.</w:t>
      </w:r>
    </w:p>
    <w:p>
      <w:pPr>
        <w:pStyle w:val="aff4"/>
        <w:spacing w:after="30" w:line="252" w:lineRule="auto"/>
        <w:ind w:left="260" w:hanging="260"/>
      </w:pPr>
      <w:r>
        <w:rPr>
          <w:rFonts w:ascii="Noto Sans CJK KR" w:hAnsi="Noto Sans CJK KR" w:eastAsia="Noto Sans CJK KR" w:cs="Noto Sans CJK KR"/>
          <w:sz w:val="15"/>
        </w:rPr>
        <w:t>210. Financial Stability Board, Recommendations to Achieve Greater Convergence in Cyber Incident Reporting, 2023.</w:t>
      </w:r>
    </w:p>
    <w:p>
      <w:pPr>
        <w:pStyle w:val="aff4"/>
        <w:spacing w:after="30" w:line="252" w:lineRule="auto"/>
        <w:ind w:left="260" w:hanging="260"/>
      </w:pPr>
      <w:r>
        <w:rPr>
          <w:rFonts w:ascii="Noto Sans CJK KR" w:hAnsi="Noto Sans CJK KR" w:eastAsia="Noto Sans CJK KR" w:cs="Noto Sans CJK KR"/>
          <w:sz w:val="15"/>
        </w:rPr>
        <w:t>211. Financial Stability Board, Format for Incident Reporting Exchange (FIRE): Final Report, 2025.</w:t>
      </w:r>
    </w:p>
    <w:p>
      <w:pPr>
        <w:pStyle w:val="aff4"/>
        <w:spacing w:after="30" w:line="252" w:lineRule="auto"/>
        <w:ind w:left="260" w:hanging="260"/>
      </w:pPr>
      <w:r>
        <w:rPr>
          <w:rFonts w:ascii="Noto Sans CJK KR" w:hAnsi="Noto Sans CJK KR" w:eastAsia="Noto Sans CJK KR" w:cs="Noto Sans CJK KR"/>
          <w:sz w:val="15"/>
        </w:rPr>
        <w:t>212. 국가법령정보센터, 개인정보 보호법 제37조의2: 자동화된 결정에 대한 정보주체의 권리, 2025.</w:t>
      </w:r>
    </w:p>
    <w:p>
      <w:pPr>
        <w:pStyle w:val="aff4"/>
        <w:spacing w:after="30" w:line="252" w:lineRule="auto"/>
        <w:ind w:left="260" w:hanging="260"/>
      </w:pPr>
      <w:r>
        <w:rPr>
          <w:rFonts w:ascii="Noto Sans CJK KR" w:hAnsi="Noto Sans CJK KR" w:eastAsia="Noto Sans CJK KR" w:cs="Noto Sans CJK KR"/>
          <w:sz w:val="15"/>
        </w:rPr>
        <w:t>213. 금융위원회, 금융분야 인공지능(AI) 가이드라인, 2021.</w:t>
      </w:r>
    </w:p>
    <w:p>
      <w:pPr>
        <w:pStyle w:val="aff4"/>
        <w:spacing w:after="30" w:line="252" w:lineRule="auto"/>
        <w:ind w:left="260" w:hanging="260"/>
      </w:pPr>
      <w:r>
        <w:rPr>
          <w:rFonts w:ascii="Noto Sans CJK KR" w:hAnsi="Noto Sans CJK KR" w:eastAsia="Noto Sans CJK KR" w:cs="Noto Sans CJK KR"/>
          <w:sz w:val="15"/>
        </w:rPr>
        <w:t>214. 국가법령정보센터, 인공지능 발전과 신뢰 기반 조성 등에 관한 기본법, 2026.</w:t>
      </w:r>
    </w:p>
    <w:p>
      <w:pPr>
        <w:pStyle w:val="aff4"/>
        <w:spacing w:after="30" w:line="252" w:lineRule="auto"/>
        <w:ind w:left="260" w:hanging="260"/>
      </w:pPr>
      <w:r>
        <w:rPr>
          <w:rFonts w:ascii="Noto Sans CJK KR" w:hAnsi="Noto Sans CJK KR" w:eastAsia="Noto Sans CJK KR" w:cs="Noto Sans CJK KR"/>
          <w:sz w:val="15"/>
        </w:rPr>
        <w:t>215. European Parliament 외, Regulation (EU) 2024/1689 Laying Down Harmonised Rules on Artificial Intelligence, 2024.</w:t>
      </w:r>
    </w:p>
    <w:p>
      <w:pPr>
        <w:pStyle w:val="aff4"/>
        <w:spacing w:after="30" w:line="252" w:lineRule="auto"/>
        <w:ind w:left="260" w:hanging="260"/>
      </w:pPr>
      <w:r>
        <w:rPr>
          <w:rFonts w:ascii="Noto Sans CJK KR" w:hAnsi="Noto Sans CJK KR" w:eastAsia="Noto Sans CJK KR" w:cs="Noto Sans CJK KR"/>
          <w:sz w:val="15"/>
        </w:rPr>
        <w:t>216. European Commission, AI Act: Application Timeline, 2026.</w:t>
      </w:r>
    </w:p>
    <w:p>
      <w:pPr>
        <w:pStyle w:val="aff4"/>
        <w:spacing w:after="30" w:line="252" w:lineRule="auto"/>
        <w:ind w:left="260" w:hanging="260"/>
      </w:pPr>
      <w:r>
        <w:rPr>
          <w:rFonts w:ascii="Noto Sans CJK KR" w:hAnsi="Noto Sans CJK KR" w:eastAsia="Noto Sans CJK KR" w:cs="Noto Sans CJK KR"/>
          <w:sz w:val="15"/>
        </w:rPr>
        <w:t>217. Council of the European Union, Artificial Intelligence: Council and Parliament Agree to Simplify and Streamline Rules, 2026.</w:t>
      </w:r>
    </w:p>
    <w:p>
      <w:pPr>
        <w:pStyle w:val="aff4"/>
        <w:spacing w:after="30" w:line="252" w:lineRule="auto"/>
        <w:ind w:left="260" w:hanging="260"/>
      </w:pPr>
      <w:r>
        <w:rPr>
          <w:rFonts w:ascii="Noto Sans CJK KR" w:hAnsi="Noto Sans CJK KR" w:eastAsia="Noto Sans CJK KR" w:cs="Noto Sans CJK KR"/>
          <w:sz w:val="15"/>
        </w:rPr>
        <w:t>218. Financial Stability Board, Holistic Review of the March Market Turmoil, 2020.</w:t>
      </w:r>
    </w:p>
    <w:p>
      <w:pPr>
        <w:pStyle w:val="aff4"/>
        <w:spacing w:after="30" w:line="252" w:lineRule="auto"/>
        <w:ind w:left="260" w:hanging="260"/>
      </w:pPr>
      <w:r>
        <w:rPr>
          <w:rFonts w:ascii="Noto Sans CJK KR" w:hAnsi="Noto Sans CJK KR" w:eastAsia="Noto Sans CJK KR" w:cs="Noto Sans CJK KR"/>
          <w:sz w:val="15"/>
        </w:rPr>
        <w:t>219. Bank of England, Financial Stability Report: December 2022, 2022.</w:t>
      </w:r>
    </w:p>
    <w:p>
      <w:pPr>
        <w:pStyle w:val="aff4"/>
        <w:spacing w:after="30" w:line="252" w:lineRule="auto"/>
        <w:ind w:left="260" w:hanging="260"/>
      </w:pPr>
      <w:r>
        <w:rPr>
          <w:rFonts w:ascii="Noto Sans CJK KR" w:hAnsi="Noto Sans CJK KR" w:eastAsia="Noto Sans CJK KR" w:cs="Noto Sans CJK KR"/>
          <w:sz w:val="15"/>
        </w:rPr>
        <w:t>220. Basel Committee on Banking Supervision, Core Principles for Effective Banking Supervision, 2024.</w:t>
      </w:r>
    </w:p>
    <w:p>
      <w:pPr>
        <w:pStyle w:val="aff4"/>
        <w:spacing w:after="30" w:line="252" w:lineRule="auto"/>
        <w:ind w:left="260" w:hanging="260"/>
      </w:pPr>
      <w:r>
        <w:rPr>
          <w:rFonts w:ascii="Noto Sans CJK KR" w:hAnsi="Noto Sans CJK KR" w:eastAsia="Noto Sans CJK KR" w:cs="Noto Sans CJK KR"/>
          <w:sz w:val="15"/>
        </w:rPr>
        <w:t>221. Financial Action Task Force, The FATF Recommendations, as Amended October 2025, 2025.</w:t>
      </w:r>
    </w:p>
    <w:p>
      <w:pPr>
        <w:pStyle w:val="aff4"/>
        <w:spacing w:after="30" w:line="252" w:lineRule="auto"/>
        <w:ind w:left="260" w:hanging="260"/>
      </w:pPr>
      <w:r>
        <w:rPr>
          <w:rFonts w:ascii="Noto Sans CJK KR" w:hAnsi="Noto Sans CJK KR" w:eastAsia="Noto Sans CJK KR" w:cs="Noto Sans CJK KR"/>
          <w:sz w:val="15"/>
        </w:rPr>
        <w:t>222. 한국은행 디지털아카이브, (구)한국은행 약사: 1878년 제일은행 부산지점에서 1909년 구 한국은행까지, 2026.</w:t>
      </w:r>
    </w:p>
    <w:p>
      <w:pPr>
        <w:pStyle w:val="aff4"/>
        <w:spacing w:after="30" w:line="252" w:lineRule="auto"/>
        <w:ind w:left="260" w:hanging="260"/>
      </w:pPr>
      <w:r>
        <w:rPr>
          <w:rFonts w:ascii="Noto Sans CJK KR" w:hAnsi="Noto Sans CJK KR" w:eastAsia="Noto Sans CJK KR" w:cs="Noto Sans CJK KR"/>
          <w:sz w:val="15"/>
        </w:rPr>
        <w:t>223. 한국은행 화폐박물관, 우리나라의 화폐: 해방 이후 한국은행 설립 전, 2018.</w:t>
      </w:r>
    </w:p>
    <w:p>
      <w:pPr>
        <w:pStyle w:val="aff4"/>
        <w:spacing w:after="30" w:line="252" w:lineRule="auto"/>
        <w:ind w:left="260" w:hanging="260"/>
      </w:pPr>
      <w:r>
        <w:rPr>
          <w:rFonts w:ascii="Noto Sans CJK KR" w:hAnsi="Noto Sans CJK KR" w:eastAsia="Noto Sans CJK KR" w:cs="Noto Sans CJK KR"/>
          <w:sz w:val="15"/>
        </w:rPr>
        <w:t>224. Committee on Payment 외, Principles for Financial Market Infrastructures, 2012.</w:t>
      </w:r>
    </w:p>
    <w:p>
      <w:pPr>
        <w:pStyle w:val="aff4"/>
        <w:spacing w:after="30" w:line="252" w:lineRule="auto"/>
        <w:ind w:left="260" w:hanging="260"/>
      </w:pPr>
      <w:r>
        <w:rPr>
          <w:rFonts w:ascii="Noto Sans CJK KR" w:hAnsi="Noto Sans CJK KR" w:eastAsia="Noto Sans CJK KR" w:cs="Noto Sans CJK KR"/>
          <w:sz w:val="15"/>
        </w:rPr>
        <w:t>225. 국가법령정보센터, 금융위원회의 설치 등에 관한 법률, 2026년 1월 2일 시행본, 2026.</w:t>
      </w:r>
    </w:p>
    <w:p>
      <w:pPr>
        <w:pStyle w:val="aff4"/>
        <w:spacing w:after="30" w:line="252" w:lineRule="auto"/>
        <w:ind w:left="260" w:hanging="260"/>
      </w:pPr>
      <w:r>
        <w:rPr>
          <w:rFonts w:ascii="Noto Sans CJK KR" w:hAnsi="Noto Sans CJK KR" w:eastAsia="Noto Sans CJK KR" w:cs="Noto Sans CJK KR"/>
          <w:sz w:val="15"/>
        </w:rPr>
        <w:t>226. 국가법령정보센터, 금융위원회와 그 소속기관 직제, 2026년 3월 31일 시행본, 2026.</w:t>
      </w:r>
    </w:p>
    <w:p>
      <w:pPr>
        <w:pStyle w:val="aff4"/>
        <w:spacing w:after="30" w:line="252" w:lineRule="auto"/>
        <w:ind w:left="260" w:hanging="260"/>
      </w:pPr>
      <w:r>
        <w:rPr>
          <w:rFonts w:ascii="Noto Sans CJK KR" w:hAnsi="Noto Sans CJK KR" w:eastAsia="Noto Sans CJK KR" w:cs="Noto Sans CJK KR"/>
          <w:sz w:val="15"/>
        </w:rPr>
        <w:t>227. 한국은행, 중앙은행과 금융안정, 2026.</w:t>
      </w:r>
    </w:p>
    <w:p>
      <w:pPr>
        <w:pStyle w:val="aff4"/>
        <w:spacing w:after="30" w:line="252" w:lineRule="auto"/>
        <w:ind w:left="260" w:hanging="260"/>
      </w:pPr>
      <w:r>
        <w:rPr>
          <w:rFonts w:ascii="Noto Sans CJK KR" w:hAnsi="Noto Sans CJK KR" w:eastAsia="Noto Sans CJK KR" w:cs="Noto Sans CJK KR"/>
          <w:sz w:val="15"/>
        </w:rPr>
        <w:t>228. 한국은행, 지급결제제도와 중앙은행, 2026.</w:t>
      </w:r>
    </w:p>
    <w:p>
      <w:pPr>
        <w:pStyle w:val="aff4"/>
        <w:spacing w:after="30" w:line="252" w:lineRule="auto"/>
        <w:ind w:left="260" w:hanging="260"/>
      </w:pPr>
      <w:r>
        <w:rPr>
          <w:rFonts w:ascii="Noto Sans CJK KR" w:hAnsi="Noto Sans CJK KR" w:eastAsia="Noto Sans CJK KR" w:cs="Noto Sans CJK KR"/>
          <w:sz w:val="15"/>
        </w:rPr>
        <w:t>229. 금융정보분석원, 금융정보분석원이 하는 일, 2026.</w:t>
      </w:r>
    </w:p>
    <w:p>
      <w:pPr>
        <w:pStyle w:val="aff4"/>
        <w:spacing w:after="30" w:line="252" w:lineRule="auto"/>
        <w:ind w:left="260" w:hanging="260"/>
      </w:pPr>
      <w:r>
        <w:rPr>
          <w:rFonts w:ascii="Noto Sans CJK KR" w:hAnsi="Noto Sans CJK KR" w:eastAsia="Noto Sans CJK KR" w:cs="Noto Sans CJK KR"/>
          <w:sz w:val="15"/>
        </w:rPr>
        <w:t>230. 금융정보분석원, 고객확인제도의 개념과 위험기반 접근, 2026.</w:t>
      </w:r>
    </w:p>
    <w:p>
      <w:pPr>
        <w:pStyle w:val="aff4"/>
        <w:spacing w:after="30" w:line="252" w:lineRule="auto"/>
        <w:ind w:left="260" w:hanging="260"/>
      </w:pPr>
      <w:r>
        <w:rPr>
          <w:rFonts w:ascii="Noto Sans CJK KR" w:hAnsi="Noto Sans CJK KR" w:eastAsia="Noto Sans CJK KR" w:cs="Noto Sans CJK KR"/>
          <w:sz w:val="15"/>
        </w:rPr>
        <w:t>231. 한국거래소, 한국거래소 소개: 설립목적과 주요기능, 2026.</w:t>
      </w:r>
    </w:p>
    <w:p>
      <w:pPr>
        <w:pStyle w:val="aff4"/>
        <w:spacing w:after="30" w:line="252" w:lineRule="auto"/>
        <w:ind w:left="260" w:hanging="260"/>
      </w:pPr>
      <w:r>
        <w:rPr>
          <w:rFonts w:ascii="Noto Sans CJK KR" w:hAnsi="Noto Sans CJK KR" w:eastAsia="Noto Sans CJK KR" w:cs="Noto Sans CJK KR"/>
          <w:sz w:val="15"/>
        </w:rPr>
        <w:t>232. 한국거래소, 장내청산결제의 의의와 중앙청산기관 역할, 2026.</w:t>
      </w:r>
    </w:p>
    <w:p>
      <w:pPr>
        <w:pStyle w:val="aff4"/>
        <w:spacing w:after="30" w:line="252" w:lineRule="auto"/>
        <w:ind w:left="260" w:hanging="260"/>
      </w:pPr>
      <w:r>
        <w:rPr>
          <w:rFonts w:ascii="Noto Sans CJK KR" w:hAnsi="Noto Sans CJK KR" w:eastAsia="Noto Sans CJK KR" w:cs="Noto Sans CJK KR"/>
          <w:sz w:val="15"/>
        </w:rPr>
        <w:t>233. International Monetary Fund, Financial Sector Assessment Program, 2026.</w:t>
      </w:r>
    </w:p>
    <w:p>
      <w:pPr>
        <w:pStyle w:val="aff4"/>
        <w:spacing w:after="30" w:line="252" w:lineRule="auto"/>
        <w:ind w:left="260" w:hanging="260"/>
      </w:pPr>
      <w:r>
        <w:rPr>
          <w:rFonts w:ascii="Noto Sans CJK KR" w:hAnsi="Noto Sans CJK KR" w:eastAsia="Noto Sans CJK KR" w:cs="Noto Sans CJK KR"/>
          <w:sz w:val="15"/>
        </w:rPr>
        <w:t>234. International Monetary Fund, Standards and Codes, 2025.</w:t>
      </w:r>
    </w:p>
    <w:p>
      <w:r>
        <w:br w:type="page"/>
      </w:r>
    </w:p>
    <w:p>
      <w:pPr>
        <w:spacing w:before="320" w:after="0"/>
      </w:pPr>
    </w:p>
    <w:p>
      <w:pPr>
        <w:pStyle w:val="aff1"/>
        <w:jc w:val="center"/>
      </w:pPr>
      <w:r>
        <w:rPr>
          <w:rFonts w:ascii="KoPubWorld바탕체_Pro Bold" w:hAnsi="KoPubWorld바탕체_Pro Bold" w:eastAsia="KoPubWorld바탕체_Pro Bold" w:cs="KoPubWorld바탕체_Pro Bold"/>
          <w:b/>
          <w:sz w:val="28"/>
        </w:rPr>
        <w:t>참고문헌</w:t>
      </w:r>
    </w:p>
    <w:p>
      <w:pPr>
        <w:spacing w:before="100" w:after="0"/>
      </w:pPr>
    </w:p>
    <w:p>
      <w:pPr>
        <w:pStyle w:val="aff4"/>
        <w:spacing w:after="20" w:line="240" w:lineRule="auto"/>
        <w:ind w:left="220" w:hanging="220"/>
      </w:pPr>
      <w:r>
        <w:rPr>
          <w:rFonts w:ascii="Noto Sans CJK KR" w:hAnsi="Noto Sans CJK KR" w:eastAsia="Noto Sans CJK KR" w:cs="Noto Sans CJK KR"/>
          <w:sz w:val="14"/>
        </w:rPr>
        <w:t>Alfred Kammer and Mohamed Norat and Marco A. Pinon-Farah and Ananthakrishnan Prasad and Christopher M. Towe and Zeine Zeidane. Islamic Finance: Opportunities, Challenges, and Policy Options. (2015). https://www.imf.org/external/pubs/ft/sdn/2015/sdn1505.pdf.</w:t>
      </w:r>
    </w:p>
    <w:p>
      <w:pPr>
        <w:pStyle w:val="aff4"/>
        <w:spacing w:after="20" w:line="240" w:lineRule="auto"/>
        <w:ind w:left="220" w:hanging="220"/>
      </w:pPr>
      <w:r>
        <w:rPr>
          <w:rFonts w:ascii="Noto Sans CJK KR" w:hAnsi="Noto Sans CJK KR" w:eastAsia="Noto Sans CJK KR" w:cs="Noto Sans CJK KR"/>
          <w:sz w:val="14"/>
        </w:rPr>
        <w:t>Bank for International Settlements. The BIS and the European Payments Union. (2020). https://www.bis.org/about/history_3emu.htm.</w:t>
      </w:r>
    </w:p>
    <w:p>
      <w:pPr>
        <w:pStyle w:val="aff4"/>
        <w:spacing w:after="20" w:line="240" w:lineRule="auto"/>
        <w:ind w:left="220" w:hanging="220"/>
      </w:pPr>
      <w:r>
        <w:rPr>
          <w:rFonts w:ascii="Noto Sans CJK KR" w:hAnsi="Noto Sans CJK KR" w:eastAsia="Noto Sans CJK KR" w:cs="Noto Sans CJK KR"/>
          <w:sz w:val="14"/>
        </w:rPr>
        <w:t>Bank for International Settlements. History: The BIS Going Global (1961-- ). (2020). https://www.bis.org/about/history_4global.htm.</w:t>
      </w:r>
    </w:p>
    <w:p>
      <w:pPr>
        <w:pStyle w:val="aff4"/>
        <w:spacing w:after="20" w:line="240" w:lineRule="auto"/>
        <w:ind w:left="220" w:hanging="220"/>
      </w:pPr>
      <w:r>
        <w:rPr>
          <w:rFonts w:ascii="Noto Sans CJK KR" w:hAnsi="Noto Sans CJK KR" w:eastAsia="Noto Sans CJK KR" w:cs="Noto Sans CJK KR"/>
          <w:sz w:val="14"/>
        </w:rPr>
        <w:t>Bank for International Settlements. Promoting Sound Financial Standards and Regulations. (2020). https://www.bis.org/history/timeline/4-standards_regs.htm.</w:t>
      </w:r>
    </w:p>
    <w:p>
      <w:pPr>
        <w:pStyle w:val="aff4"/>
        <w:spacing w:after="20" w:line="240" w:lineRule="auto"/>
        <w:ind w:left="220" w:hanging="220"/>
      </w:pPr>
      <w:r>
        <w:rPr>
          <w:rFonts w:ascii="Noto Sans CJK KR" w:hAnsi="Noto Sans CJK KR" w:eastAsia="Noto Sans CJK KR" w:cs="Noto Sans CJK KR"/>
          <w:sz w:val="14"/>
        </w:rPr>
        <w:t>Bank for International Settlements. Project Agora: Central Banks and Banking Sector Embark on Major Project to Explore Tokenisation of Cross-border Payments. (2024). https://www.bis.org/press/p240403.htm.</w:t>
      </w:r>
    </w:p>
    <w:p>
      <w:pPr>
        <w:pStyle w:val="aff4"/>
        <w:spacing w:after="20" w:line="240" w:lineRule="auto"/>
        <w:ind w:left="220" w:hanging="220"/>
      </w:pPr>
      <w:r>
        <w:rPr>
          <w:rFonts w:ascii="Noto Sans CJK KR" w:hAnsi="Noto Sans CJK KR" w:eastAsia="Noto Sans CJK KR" w:cs="Noto Sans CJK KR"/>
          <w:sz w:val="14"/>
        </w:rPr>
        <w:t>Bank for International Settlements. Project Agora: Exploring Tokenisation of Wholesale Cross-border Payments. (2026). https://www.bis.org/about/bisih/topics/fmis/agora.htm.</w:t>
      </w:r>
    </w:p>
    <w:p>
      <w:pPr>
        <w:pStyle w:val="aff4"/>
        <w:spacing w:after="20" w:line="240" w:lineRule="auto"/>
        <w:ind w:left="220" w:hanging="220"/>
      </w:pPr>
      <w:r>
        <w:rPr>
          <w:rFonts w:ascii="Noto Sans CJK KR" w:hAnsi="Noto Sans CJK KR" w:eastAsia="Noto Sans CJK KR" w:cs="Noto Sans CJK KR"/>
          <w:sz w:val="14"/>
        </w:rPr>
        <w:t>Bank of England. Founding Documents of the Bank of England. (1694). https://www.bankofengland.co.uk/museum/online-collections/archive-gallery/founding-documents.</w:t>
      </w:r>
    </w:p>
    <w:p>
      <w:pPr>
        <w:pStyle w:val="aff4"/>
        <w:spacing w:after="20" w:line="240" w:lineRule="auto"/>
        <w:ind w:left="220" w:hanging="220"/>
      </w:pPr>
      <w:r>
        <w:rPr>
          <w:rFonts w:ascii="Noto Sans CJK KR" w:hAnsi="Noto Sans CJK KR" w:eastAsia="Noto Sans CJK KR" w:cs="Noto Sans CJK KR"/>
          <w:sz w:val="14"/>
        </w:rPr>
        <w:t>Bank of England. The Bank of England Note: A Short History. (1969). https://www.bankofengland.co.uk/quarterly-bulletin/1969/q2/the-bank-of-england-note---a-short-history.</w:t>
      </w:r>
    </w:p>
    <w:p>
      <w:pPr>
        <w:pStyle w:val="aff4"/>
        <w:spacing w:after="20" w:line="240" w:lineRule="auto"/>
        <w:ind w:left="220" w:hanging="220"/>
      </w:pPr>
      <w:r>
        <w:rPr>
          <w:rFonts w:ascii="Noto Sans CJK KR" w:hAnsi="Noto Sans CJK KR" w:eastAsia="Noto Sans CJK KR" w:cs="Noto Sans CJK KR"/>
          <w:sz w:val="14"/>
        </w:rPr>
        <w:t>Bank of England. Bills of Exchange: Current Issues in a Historical Perspective. (1982). https://www.bankofengland.co.uk/quarterly-bulletin/1982/q4/bills-of-exchange---current-issues-in-a-historical-perspective---paper-presented-by-mr-a-l-coleby.</w:t>
      </w:r>
    </w:p>
    <w:p>
      <w:pPr>
        <w:pStyle w:val="aff4"/>
        <w:spacing w:after="20" w:line="240" w:lineRule="auto"/>
        <w:ind w:left="220" w:hanging="220"/>
      </w:pPr>
      <w:r>
        <w:rPr>
          <w:rFonts w:ascii="Noto Sans CJK KR" w:hAnsi="Noto Sans CJK KR" w:eastAsia="Noto Sans CJK KR" w:cs="Noto Sans CJK KR"/>
          <w:sz w:val="14"/>
        </w:rPr>
        <w:t>Bank of England. City Regulation after Big Bang: Governor's Speech to the American Chamber of Commerce (UK). (1986). https://www.bankofengland.co.uk/quarterly-bulletin/1986/q1/city-regulation-after-big-bang---governors-speech-to-the-american-chamber-of-commerce-uk.</w:t>
      </w:r>
    </w:p>
    <w:p>
      <w:pPr>
        <w:pStyle w:val="aff4"/>
        <w:spacing w:after="20" w:line="240" w:lineRule="auto"/>
        <w:ind w:left="220" w:hanging="220"/>
      </w:pPr>
      <w:r>
        <w:rPr>
          <w:rFonts w:ascii="Noto Sans CJK KR" w:hAnsi="Noto Sans CJK KR" w:eastAsia="Noto Sans CJK KR" w:cs="Noto Sans CJK KR"/>
          <w:sz w:val="14"/>
        </w:rPr>
        <w:t>Bank of England. Change in the Stock Exchange and Regulation of the City. (1987). https://www.bankofengland.co.uk/quarterly-bulletin/1987/q1/change-in-the-stock-exchange-and-regulation-of-the-city.</w:t>
      </w:r>
    </w:p>
    <w:p>
      <w:pPr>
        <w:pStyle w:val="aff4"/>
        <w:spacing w:after="20" w:line="240" w:lineRule="auto"/>
        <w:ind w:left="220" w:hanging="220"/>
      </w:pPr>
      <w:r>
        <w:rPr>
          <w:rFonts w:ascii="Noto Sans CJK KR" w:hAnsi="Noto Sans CJK KR" w:eastAsia="Noto Sans CJK KR" w:cs="Noto Sans CJK KR"/>
          <w:sz w:val="14"/>
        </w:rPr>
        <w:t>Bank of England. Who Owns a Company?. (2015). https://www.bankofengland.co.uk/-/media/boe/files/speech/2015/who-owns-a-company.pdf.</w:t>
      </w:r>
    </w:p>
    <w:p>
      <w:pPr>
        <w:pStyle w:val="aff4"/>
        <w:spacing w:after="20" w:line="240" w:lineRule="auto"/>
        <w:ind w:left="220" w:hanging="220"/>
      </w:pPr>
      <w:r>
        <w:rPr>
          <w:rFonts w:ascii="Noto Sans CJK KR" w:hAnsi="Noto Sans CJK KR" w:eastAsia="Noto Sans CJK KR" w:cs="Noto Sans CJK KR"/>
          <w:sz w:val="14"/>
        </w:rPr>
        <w:t>Bank of England. The Bank of England as Lender of Last Resort: New Historical Evidence from Daily Transactional Data. (2017). https://www.bankofengland.co.uk/working-paper/2017/the-bank-of-england-as-lender-of-last-resort-new-historical-evidence-from-daily-transactional-data.</w:t>
      </w:r>
    </w:p>
    <w:p>
      <w:pPr>
        <w:pStyle w:val="aff4"/>
        <w:spacing w:after="20" w:line="240" w:lineRule="auto"/>
        <w:ind w:left="220" w:hanging="220"/>
      </w:pPr>
      <w:r>
        <w:rPr>
          <w:rFonts w:ascii="Noto Sans CJK KR" w:hAnsi="Noto Sans CJK KR" w:eastAsia="Noto Sans CJK KR" w:cs="Noto Sans CJK KR"/>
          <w:sz w:val="14"/>
        </w:rPr>
        <w:t>Bank of England. Details of the Bank of England Loan to the Government in 1694. (2020). https://www.bankofengland.co.uk/freedom-of-information/2020/details-of-the-bank-of-england-loan-to-the-government-in-1694.</w:t>
      </w:r>
    </w:p>
    <w:p>
      <w:pPr>
        <w:pStyle w:val="aff4"/>
        <w:spacing w:after="20" w:line="240" w:lineRule="auto"/>
        <w:ind w:left="220" w:hanging="220"/>
      </w:pPr>
      <w:r>
        <w:rPr>
          <w:rFonts w:ascii="Noto Sans CJK KR" w:hAnsi="Noto Sans CJK KR" w:eastAsia="Noto Sans CJK KR" w:cs="Noto Sans CJK KR"/>
          <w:sz w:val="14"/>
        </w:rPr>
        <w:t>Bank of England. Financial Stability Report: December 2022. (2022). https://www.bankofengland.co.uk/financial-stability-report/2022/december-2022.</w:t>
      </w:r>
    </w:p>
    <w:p>
      <w:pPr>
        <w:pStyle w:val="aff4"/>
        <w:spacing w:after="20" w:line="240" w:lineRule="auto"/>
        <w:ind w:left="220" w:hanging="220"/>
      </w:pPr>
      <w:r>
        <w:rPr>
          <w:rFonts w:ascii="Noto Sans CJK KR" w:hAnsi="Noto Sans CJK KR" w:eastAsia="Noto Sans CJK KR" w:cs="Noto Sans CJK KR"/>
          <w:sz w:val="14"/>
        </w:rPr>
        <w:t>Bank of England. History of the Bank of England. (2026). https://www.bankofengland.co.uk/about/history.</w:t>
      </w:r>
    </w:p>
    <w:p>
      <w:pPr>
        <w:pStyle w:val="aff4"/>
        <w:spacing w:after="20" w:line="240" w:lineRule="auto"/>
        <w:ind w:left="220" w:hanging="220"/>
      </w:pPr>
      <w:r>
        <w:rPr>
          <w:rFonts w:ascii="Noto Sans CJK KR" w:hAnsi="Noto Sans CJK KR" w:eastAsia="Noto Sans CJK KR" w:cs="Noto Sans CJK KR"/>
          <w:sz w:val="14"/>
        </w:rPr>
        <w:t>Bank of England. History of the Bank of England: The South Sea Bubble. (2026). https://www.bankofengland.co.uk/about/history.</w:t>
      </w:r>
    </w:p>
    <w:p>
      <w:pPr>
        <w:pStyle w:val="aff4"/>
        <w:spacing w:after="20" w:line="240" w:lineRule="auto"/>
        <w:ind w:left="220" w:hanging="220"/>
      </w:pPr>
      <w:r>
        <w:rPr>
          <w:rFonts w:ascii="Noto Sans CJK KR" w:hAnsi="Noto Sans CJK KR" w:eastAsia="Noto Sans CJK KR" w:cs="Noto Sans CJK KR"/>
          <w:sz w:val="14"/>
        </w:rPr>
        <w:t>Basel Committee on Banking Supervision. International Convergence of Capital Measurement and Capital Standards. (1988). Bank for International Settlements. https://www.bis.org/publ/bcbs04.htm.</w:t>
      </w:r>
    </w:p>
    <w:p>
      <w:pPr>
        <w:pStyle w:val="aff4"/>
        <w:spacing w:after="20" w:line="240" w:lineRule="auto"/>
        <w:ind w:left="220" w:hanging="220"/>
      </w:pPr>
      <w:r>
        <w:rPr>
          <w:rFonts w:ascii="Noto Sans CJK KR" w:hAnsi="Noto Sans CJK KR" w:eastAsia="Noto Sans CJK KR" w:cs="Noto Sans CJK KR"/>
          <w:sz w:val="14"/>
        </w:rPr>
        <w:t>Basel Committee on Banking Supervision. The Supervision of Cross-Border Banking. (1996). Bank for International Settlements. https://www.bis.org/publ/bcbs27.htm.</w:t>
      </w:r>
    </w:p>
    <w:p>
      <w:pPr>
        <w:pStyle w:val="aff4"/>
        <w:spacing w:after="20" w:line="240" w:lineRule="auto"/>
        <w:ind w:left="220" w:hanging="220"/>
      </w:pPr>
      <w:r>
        <w:rPr>
          <w:rFonts w:ascii="Noto Sans CJK KR" w:hAnsi="Noto Sans CJK KR" w:eastAsia="Noto Sans CJK KR" w:cs="Noto Sans CJK KR"/>
          <w:sz w:val="14"/>
        </w:rPr>
        <w:t>Basel Committee on Banking Supervision. Amendment to the Capital Accord to Incorporate Market Risks. (1996). Bank for International Settlements. https://www.bis.org/publ/bcbs24.htm.</w:t>
      </w:r>
    </w:p>
    <w:p>
      <w:pPr>
        <w:pStyle w:val="aff4"/>
        <w:spacing w:after="20" w:line="240" w:lineRule="auto"/>
        <w:ind w:left="220" w:hanging="220"/>
      </w:pPr>
      <w:r>
        <w:rPr>
          <w:rFonts w:ascii="Noto Sans CJK KR" w:hAnsi="Noto Sans CJK KR" w:eastAsia="Noto Sans CJK KR" w:cs="Noto Sans CJK KR"/>
          <w:sz w:val="14"/>
        </w:rPr>
        <w:t>Basel Committee on Banking Supervision. Basel II: International Convergence of Capital Measurement and Capital Standards: A Revised Framework, Comprehensive Version. (2006). Bank for International Settlements. https://www.bis.org/publ/bcbs128.htm.</w:t>
      </w:r>
    </w:p>
    <w:p>
      <w:pPr>
        <w:pStyle w:val="aff4"/>
        <w:spacing w:after="20" w:line="240" w:lineRule="auto"/>
        <w:ind w:left="220" w:hanging="220"/>
      </w:pPr>
      <w:r>
        <w:rPr>
          <w:rFonts w:ascii="Noto Sans CJK KR" w:hAnsi="Noto Sans CJK KR" w:eastAsia="Noto Sans CJK KR" w:cs="Noto Sans CJK KR"/>
          <w:sz w:val="14"/>
        </w:rPr>
        <w:t>Basel Committee on Banking Supervision. Guidance for National Authorities Operating the Countercyclical Capital Buffer. (2010). Bank for International Settlements. https://www.bis.org/publ/bcbs187.htm.</w:t>
      </w:r>
    </w:p>
    <w:p>
      <w:pPr>
        <w:pStyle w:val="aff4"/>
        <w:spacing w:after="20" w:line="240" w:lineRule="auto"/>
        <w:ind w:left="220" w:hanging="220"/>
      </w:pPr>
      <w:r>
        <w:rPr>
          <w:rFonts w:ascii="Noto Sans CJK KR" w:hAnsi="Noto Sans CJK KR" w:eastAsia="Noto Sans CJK KR" w:cs="Noto Sans CJK KR"/>
          <w:sz w:val="14"/>
        </w:rPr>
        <w:t>Basel Committee on Banking Supervision. Basel III: A Global Regulatory Framework for More Resilient Banks and Banking Systems, Revised Version. (2011). Bank for International Settlements. https://www.bis.org/publ/bcbs189.htm.</w:t>
      </w:r>
    </w:p>
    <w:p>
      <w:pPr>
        <w:pStyle w:val="aff4"/>
        <w:spacing w:after="20" w:line="240" w:lineRule="auto"/>
        <w:ind w:left="220" w:hanging="220"/>
      </w:pPr>
      <w:r>
        <w:rPr>
          <w:rFonts w:ascii="Noto Sans CJK KR" w:hAnsi="Noto Sans CJK KR" w:eastAsia="Noto Sans CJK KR" w:cs="Noto Sans CJK KR"/>
          <w:sz w:val="14"/>
        </w:rPr>
        <w:t>Basel Committee on Banking Supervision. Basel III: The Liquidity Coverage Ratio and Liquidity Risk Monitoring Tools. (2013). Bank for International Settlements. https://www.bis.org/publ/bcbs238.htm.</w:t>
      </w:r>
    </w:p>
    <w:p>
      <w:pPr>
        <w:pStyle w:val="aff4"/>
        <w:spacing w:after="20" w:line="240" w:lineRule="auto"/>
        <w:ind w:left="220" w:hanging="220"/>
      </w:pPr>
      <w:r>
        <w:rPr>
          <w:rFonts w:ascii="Noto Sans CJK KR" w:hAnsi="Noto Sans CJK KR" w:eastAsia="Noto Sans CJK KR" w:cs="Noto Sans CJK KR"/>
          <w:sz w:val="14"/>
        </w:rPr>
        <w:t>Basel Committee on Banking Supervision. Basel III: The Net Stable Funding Ratio. (2014). Bank for International Settlements. https://www.bis.org/bcbs/publ/d295.htm.</w:t>
      </w:r>
    </w:p>
    <w:p>
      <w:pPr>
        <w:pStyle w:val="aff4"/>
        <w:spacing w:after="20" w:line="240" w:lineRule="auto"/>
        <w:ind w:left="220" w:hanging="220"/>
      </w:pPr>
      <w:r>
        <w:rPr>
          <w:rFonts w:ascii="Noto Sans CJK KR" w:hAnsi="Noto Sans CJK KR" w:eastAsia="Noto Sans CJK KR" w:cs="Noto Sans CJK KR"/>
          <w:sz w:val="14"/>
        </w:rPr>
        <w:t>Basel Committee on Banking Supervision. Basel III: Finalising Post-Crisis Reforms. (2017). Bank for International Settlements. https://www.bis.org/bcbs/publ/d424.htm.</w:t>
      </w:r>
    </w:p>
    <w:p>
      <w:pPr>
        <w:pStyle w:val="aff4"/>
        <w:spacing w:after="20" w:line="240" w:lineRule="auto"/>
        <w:ind w:left="220" w:hanging="220"/>
      </w:pPr>
      <w:r>
        <w:rPr>
          <w:rFonts w:ascii="Noto Sans CJK KR" w:hAnsi="Noto Sans CJK KR" w:eastAsia="Noto Sans CJK KR" w:cs="Noto Sans CJK KR"/>
          <w:sz w:val="14"/>
        </w:rPr>
        <w:t>Basel Committee on Banking Supervision. Principles for Operational Resilience. (2021). Bank for International Settlements. https://www.bis.org/bcbs/publ/d516.htm.</w:t>
      </w:r>
    </w:p>
    <w:p>
      <w:pPr>
        <w:pStyle w:val="aff4"/>
        <w:spacing w:after="20" w:line="240" w:lineRule="auto"/>
        <w:ind w:left="220" w:hanging="220"/>
      </w:pPr>
      <w:r>
        <w:rPr>
          <w:rFonts w:ascii="Noto Sans CJK KR" w:hAnsi="Noto Sans CJK KR" w:eastAsia="Noto Sans CJK KR" w:cs="Noto Sans CJK KR"/>
          <w:sz w:val="14"/>
        </w:rPr>
        <w:t>Basel Committee on Banking Supervision. Report on the 2023 Banking Turmoil. (2023). Bank for International Settlements. https://www.bis.org/bcbs/publ/d555.htm.</w:t>
      </w:r>
    </w:p>
    <w:p>
      <w:pPr>
        <w:pStyle w:val="aff4"/>
        <w:spacing w:after="20" w:line="240" w:lineRule="auto"/>
        <w:ind w:left="220" w:hanging="220"/>
      </w:pPr>
      <w:r>
        <w:rPr>
          <w:rFonts w:ascii="Noto Sans CJK KR" w:hAnsi="Noto Sans CJK KR" w:eastAsia="Noto Sans CJK KR" w:cs="Noto Sans CJK KR"/>
          <w:sz w:val="14"/>
        </w:rPr>
        <w:t>Basel Committee on Banking Supervision. Core Principles for Effective Banking Supervision. (2024). Bank for International Settlements. https://www.bis.org/bcbs/publ/d573.htm.</w:t>
      </w:r>
    </w:p>
    <w:p>
      <w:pPr>
        <w:pStyle w:val="aff4"/>
        <w:spacing w:after="20" w:line="240" w:lineRule="auto"/>
        <w:ind w:left="220" w:hanging="220"/>
      </w:pPr>
      <w:r>
        <w:rPr>
          <w:rFonts w:ascii="Noto Sans CJK KR" w:hAnsi="Noto Sans CJK KR" w:eastAsia="Noto Sans CJK KR" w:cs="Noto Sans CJK KR"/>
          <w:sz w:val="14"/>
        </w:rPr>
        <w:t>Basel Committee on Banking Supervision. History of the Basel Committee. (2024). Bank for International Settlements. https://www.bis.org/bcbs/history.htm.</w:t>
      </w:r>
    </w:p>
    <w:p>
      <w:pPr>
        <w:pStyle w:val="aff4"/>
        <w:spacing w:after="20" w:line="240" w:lineRule="auto"/>
        <w:ind w:left="220" w:hanging="220"/>
      </w:pPr>
      <w:r>
        <w:rPr>
          <w:rFonts w:ascii="Noto Sans CJK KR" w:hAnsi="Noto Sans CJK KR" w:eastAsia="Noto Sans CJK KR" w:cs="Noto Sans CJK KR"/>
          <w:sz w:val="14"/>
        </w:rPr>
        <w:t>Basel Committee on Banking Supervision. RCAP on Timeliness: Basel III Implementation Dashboard. (2025). Bank for International Settlements. https://www.bis.org/bcbs/implementation/rcap_reports.htm.</w:t>
      </w:r>
    </w:p>
    <w:p>
      <w:pPr>
        <w:pStyle w:val="aff4"/>
        <w:spacing w:after="20" w:line="240" w:lineRule="auto"/>
        <w:ind w:left="220" w:hanging="220"/>
      </w:pPr>
      <w:r>
        <w:rPr>
          <w:rFonts w:ascii="Noto Sans CJK KR" w:hAnsi="Noto Sans CJK KR" w:eastAsia="Noto Sans CJK KR" w:cs="Noto Sans CJK KR"/>
          <w:sz w:val="14"/>
        </w:rPr>
        <w:t>Benedict XIV. Vix Pervenit. (1745). https://www.vatican.va/content/benedictus-xiv/it/documents/enciclica--i-vix-pervenit--i---1-novembre-1745--poiche-e-venuto-.html.</w:t>
      </w:r>
    </w:p>
    <w:p>
      <w:pPr>
        <w:pStyle w:val="aff4"/>
        <w:spacing w:after="20" w:line="240" w:lineRule="auto"/>
        <w:ind w:left="220" w:hanging="220"/>
      </w:pPr>
      <w:r>
        <w:rPr>
          <w:rFonts w:ascii="Noto Sans CJK KR" w:hAnsi="Noto Sans CJK KR" w:eastAsia="Noto Sans CJK KR" w:cs="Noto Sans CJK KR"/>
          <w:sz w:val="14"/>
        </w:rPr>
        <w:t>Board of Governors of the Federal Reserve System. Federal Reserve Board, with the Full Support of the Treasury Department, Authorizes the Federal Reserve Bank of New York to Lend Up to 85 Billion Dollars to the American International Group. (2008). https://www.federalreserve.gov/newsevents/pressreleases/other20080916a.htm.</w:t>
      </w:r>
    </w:p>
    <w:p>
      <w:pPr>
        <w:pStyle w:val="aff4"/>
        <w:spacing w:after="20" w:line="240" w:lineRule="auto"/>
        <w:ind w:left="220" w:hanging="220"/>
      </w:pPr>
      <w:r>
        <w:rPr>
          <w:rFonts w:ascii="Noto Sans CJK KR" w:hAnsi="Noto Sans CJK KR" w:eastAsia="Noto Sans CJK KR" w:cs="Noto Sans CJK KR"/>
          <w:sz w:val="14"/>
        </w:rPr>
        <w:t>Board of Governors of the Federal Reserve System. Federal Reserve, OCC, and FDIC Release Results of the Supervisory Capital Assessment Program. (2009). https://www.federalreserve.gov/newsevents/pressreleases/bcreg20090507a.htm.</w:t>
      </w:r>
    </w:p>
    <w:p>
      <w:pPr>
        <w:pStyle w:val="aff4"/>
        <w:spacing w:after="20" w:line="240" w:lineRule="auto"/>
        <w:ind w:left="220" w:hanging="220"/>
      </w:pPr>
      <w:r>
        <w:rPr>
          <w:rFonts w:ascii="Noto Sans CJK KR" w:hAnsi="Noto Sans CJK KR" w:eastAsia="Noto Sans CJK KR" w:cs="Noto Sans CJK KR"/>
          <w:sz w:val="14"/>
        </w:rPr>
        <w:t>Board of Governors of the Federal Reserve System. Review of the Federal Reserve's Supervision and Regulation of Silicon Valley Bank. (2023). https://www.federalreserve.gov/newsevents/pressreleases/bcreg20230428a.htm.</w:t>
      </w:r>
    </w:p>
    <w:p>
      <w:pPr>
        <w:pStyle w:val="aff4"/>
        <w:spacing w:after="20" w:line="240" w:lineRule="auto"/>
        <w:ind w:left="220" w:hanging="220"/>
      </w:pPr>
      <w:r>
        <w:rPr>
          <w:rFonts w:ascii="Noto Sans CJK KR" w:hAnsi="Noto Sans CJK KR" w:eastAsia="Noto Sans CJK KR" w:cs="Noto Sans CJK KR"/>
          <w:sz w:val="14"/>
        </w:rPr>
        <w:t>British Museum. Cuneiform Tablet: Debt Contract, Museum Number SM.957. ({c. 700 BCE}). https://www.britishmuseum.org/collection/object/W_SM-957.</w:t>
      </w:r>
    </w:p>
    <w:p>
      <w:pPr>
        <w:pStyle w:val="aff4"/>
        <w:spacing w:after="20" w:line="240" w:lineRule="auto"/>
        <w:ind w:left="220" w:hanging="220"/>
      </w:pPr>
      <w:r>
        <w:rPr>
          <w:rFonts w:ascii="Noto Sans CJK KR" w:hAnsi="Noto Sans CJK KR" w:eastAsia="Noto Sans CJK KR" w:cs="Noto Sans CJK KR"/>
          <w:sz w:val="14"/>
        </w:rPr>
        <w:t>Committee on Payment and Settlement Systems and International Organization of Securities Commissions. Principles for Financial Market Infrastructures. (2012). Bank for International Settlements. https://www.bis.org/cpmi/publ/d101.htm.</w:t>
      </w:r>
    </w:p>
    <w:p>
      <w:pPr>
        <w:pStyle w:val="aff4"/>
        <w:spacing w:after="20" w:line="240" w:lineRule="auto"/>
        <w:ind w:left="220" w:hanging="220"/>
      </w:pPr>
      <w:r>
        <w:rPr>
          <w:rFonts w:ascii="Noto Sans CJK KR" w:hAnsi="Noto Sans CJK KR" w:eastAsia="Noto Sans CJK KR" w:cs="Noto Sans CJK KR"/>
          <w:sz w:val="14"/>
        </w:rPr>
        <w:t>Consumer Financial Protection Bureau. Building the CFPB: A Progress Report. (2011). https://www.consumerfinance.gov/data-research/research-reports/building-the-cfpb/.</w:t>
      </w:r>
    </w:p>
    <w:p>
      <w:pPr>
        <w:pStyle w:val="aff4"/>
        <w:spacing w:after="20" w:line="240" w:lineRule="auto"/>
        <w:ind w:left="220" w:hanging="220"/>
      </w:pPr>
      <w:r>
        <w:rPr>
          <w:rFonts w:ascii="Noto Sans CJK KR" w:hAnsi="Noto Sans CJK KR" w:eastAsia="Noto Sans CJK KR" w:cs="Noto Sans CJK KR"/>
          <w:sz w:val="14"/>
        </w:rPr>
        <w:t>Council of the European Communities. Second Council Directive 89/646/EEC on the Coordination of Laws, Regulations and Administrative Provisions Relating to the Taking Up and Pursuit of the Business of Credit Institutions. (1989). European Communities. https://eur-lex.europa.eu/legal-content/EN/TXT/PDF/?uri=CELEX:31989L0646.</w:t>
      </w:r>
    </w:p>
    <w:p>
      <w:pPr>
        <w:pStyle w:val="aff4"/>
        <w:spacing w:after="20" w:line="240" w:lineRule="auto"/>
        <w:ind w:left="220" w:hanging="220"/>
      </w:pPr>
      <w:r>
        <w:rPr>
          <w:rFonts w:ascii="Noto Sans CJK KR" w:hAnsi="Noto Sans CJK KR" w:eastAsia="Noto Sans CJK KR" w:cs="Noto Sans CJK KR"/>
          <w:sz w:val="14"/>
        </w:rPr>
        <w:t>Council of the European Union. Artificial Intelligence: Council and Parliament Agree to Simplify and Streamline Rules. (2026). https://www.consilium.europa.eu/en/press/press-releases/2026/05/07/artificial-intelligence-council-and-parliament-agree-to-simplify-and-streamline-rules/.</w:t>
      </w:r>
    </w:p>
    <w:p>
      <w:pPr>
        <w:pStyle w:val="aff4"/>
        <w:spacing w:after="20" w:line="240" w:lineRule="auto"/>
        <w:ind w:left="220" w:hanging="220"/>
      </w:pPr>
      <w:r>
        <w:rPr>
          <w:rFonts w:ascii="Noto Sans CJK KR" w:hAnsi="Noto Sans CJK KR" w:eastAsia="Noto Sans CJK KR" w:cs="Noto Sans CJK KR"/>
          <w:sz w:val="14"/>
        </w:rPr>
        <w:t>European Commission. Digital Finance: DORA Standards and Application. (2024). https://finance.ec.europa.eu/news/digital-finance-2024-12-19_en.</w:t>
      </w:r>
    </w:p>
    <w:p>
      <w:pPr>
        <w:pStyle w:val="aff4"/>
        <w:spacing w:after="20" w:line="240" w:lineRule="auto"/>
        <w:ind w:left="220" w:hanging="220"/>
      </w:pPr>
      <w:r>
        <w:rPr>
          <w:rFonts w:ascii="Noto Sans CJK KR" w:hAnsi="Noto Sans CJK KR" w:eastAsia="Noto Sans CJK KR" w:cs="Noto Sans CJK KR"/>
          <w:sz w:val="14"/>
        </w:rPr>
        <w:t>European Commission. AI Act: Application Timeline. (2026). https://digital-strategy.ec.europa.eu/en/policies/regulatory-framework-ai.</w:t>
      </w:r>
    </w:p>
    <w:p>
      <w:pPr>
        <w:pStyle w:val="aff4"/>
        <w:spacing w:after="20" w:line="240" w:lineRule="auto"/>
        <w:ind w:left="220" w:hanging="220"/>
      </w:pPr>
      <w:r>
        <w:rPr>
          <w:rFonts w:ascii="Noto Sans CJK KR" w:hAnsi="Noto Sans CJK KR" w:eastAsia="Noto Sans CJK KR" w:cs="Noto Sans CJK KR"/>
          <w:sz w:val="14"/>
        </w:rPr>
        <w:t>European Parliament and Council of the European Union. Regulation (EU) 2022/2554 on Digital Operational Resilience for the Financial Sector. (2022). European Union. https://eur-lex.europa.eu/eli/reg/2022/2554/oj.</w:t>
      </w:r>
    </w:p>
    <w:p>
      <w:pPr>
        <w:pStyle w:val="aff4"/>
        <w:spacing w:after="20" w:line="240" w:lineRule="auto"/>
        <w:ind w:left="220" w:hanging="220"/>
      </w:pPr>
      <w:r>
        <w:rPr>
          <w:rFonts w:ascii="Noto Sans CJK KR" w:hAnsi="Noto Sans CJK KR" w:eastAsia="Noto Sans CJK KR" w:cs="Noto Sans CJK KR"/>
          <w:sz w:val="14"/>
        </w:rPr>
        <w:t>European Parliament and Council of the European Union. Regulation (EU) 2023/1114 on Markets in Crypto-assets (MiCA). (2023). European Union. https://eur-lex.europa.eu/eli/reg/2023/1114/oj.</w:t>
      </w:r>
    </w:p>
    <w:p>
      <w:pPr>
        <w:pStyle w:val="aff4"/>
        <w:spacing w:after="20" w:line="240" w:lineRule="auto"/>
        <w:ind w:left="220" w:hanging="220"/>
      </w:pPr>
      <w:r>
        <w:rPr>
          <w:rFonts w:ascii="Noto Sans CJK KR" w:hAnsi="Noto Sans CJK KR" w:eastAsia="Noto Sans CJK KR" w:cs="Noto Sans CJK KR"/>
          <w:sz w:val="14"/>
        </w:rPr>
        <w:t>European Parliament and Council of the European Union. MiCA Article 143: Transitional Measures. (2023). European Union. https://eur-lex.europa.eu/eli/reg/2023/1114/oj.</w:t>
      </w:r>
    </w:p>
    <w:p>
      <w:pPr>
        <w:pStyle w:val="aff4"/>
        <w:spacing w:after="20" w:line="240" w:lineRule="auto"/>
        <w:ind w:left="220" w:hanging="220"/>
      </w:pPr>
      <w:r>
        <w:rPr>
          <w:rFonts w:ascii="Noto Sans CJK KR" w:hAnsi="Noto Sans CJK KR" w:eastAsia="Noto Sans CJK KR" w:cs="Noto Sans CJK KR"/>
          <w:sz w:val="14"/>
        </w:rPr>
        <w:t>European Parliament and Council of the European Union. Regulation (EU) 2024/1689 Laying Down Harmonised Rules on Artificial Intelligence. (2024). European Union. https://eur-lex.europa.eu/eli/reg/2024/1689/oj/eng.</w:t>
      </w:r>
    </w:p>
    <w:p>
      <w:pPr>
        <w:pStyle w:val="aff4"/>
        <w:spacing w:after="20" w:line="240" w:lineRule="auto"/>
        <w:ind w:left="220" w:hanging="220"/>
      </w:pPr>
      <w:r>
        <w:rPr>
          <w:rFonts w:ascii="Noto Sans CJK KR" w:hAnsi="Noto Sans CJK KR" w:eastAsia="Noto Sans CJK KR" w:cs="Noto Sans CJK KR"/>
          <w:sz w:val="14"/>
        </w:rPr>
        <w:t>Federal Deposit Insurance Corporation. The S&amp;L Crisis: A Chrono-Bibliography. (1999). https://archive.fdic.gov/view/fdic/6803.</w:t>
      </w:r>
    </w:p>
    <w:p>
      <w:pPr>
        <w:pStyle w:val="aff4"/>
        <w:spacing w:after="20" w:line="240" w:lineRule="auto"/>
        <w:ind w:left="220" w:hanging="220"/>
      </w:pPr>
      <w:r>
        <w:rPr>
          <w:rFonts w:ascii="Noto Sans CJK KR" w:hAnsi="Noto Sans CJK KR" w:eastAsia="Noto Sans CJK KR" w:cs="Noto Sans CJK KR"/>
          <w:sz w:val="14"/>
        </w:rPr>
        <w:t>Federal Deposit Insurance Corporation. Temporary Liquidity Guarantee Program. (2008). https://www.fdic.gov/banker-resource-center/temporary-liquidity-guarantee-program.</w:t>
      </w:r>
    </w:p>
    <w:p>
      <w:pPr>
        <w:pStyle w:val="aff4"/>
        <w:spacing w:after="20" w:line="240" w:lineRule="auto"/>
        <w:ind w:left="220" w:hanging="220"/>
      </w:pPr>
      <w:r>
        <w:rPr>
          <w:rFonts w:ascii="Noto Sans CJK KR" w:hAnsi="Noto Sans CJK KR" w:eastAsia="Noto Sans CJK KR" w:cs="Noto Sans CJK KR"/>
          <w:sz w:val="14"/>
        </w:rPr>
        <w:t>Federal Deposit Insurance Corporation. Chronology of Selected Banking Laws. (2025). https://www.fdic.gov/laws-and-regulations/chronology-selected-banking-laws.</w:t>
      </w:r>
    </w:p>
    <w:p>
      <w:pPr>
        <w:pStyle w:val="aff4"/>
        <w:spacing w:after="20" w:line="240" w:lineRule="auto"/>
        <w:ind w:left="220" w:hanging="220"/>
      </w:pPr>
      <w:r>
        <w:rPr>
          <w:rFonts w:ascii="Noto Sans CJK KR" w:hAnsi="Noto Sans CJK KR" w:eastAsia="Noto Sans CJK KR" w:cs="Noto Sans CJK KR"/>
          <w:sz w:val="14"/>
        </w:rPr>
        <w:t>Federal Deposit Insurance Corporation. 1930--1939: FDIC Historical Timeline. (2025). https://www.fdic.gov/history/1930-1939.</w:t>
      </w:r>
    </w:p>
    <w:p>
      <w:pPr>
        <w:pStyle w:val="aff4"/>
        <w:spacing w:after="20" w:line="240" w:lineRule="auto"/>
        <w:ind w:left="220" w:hanging="220"/>
      </w:pPr>
      <w:r>
        <w:rPr>
          <w:rFonts w:ascii="Noto Sans CJK KR" w:hAnsi="Noto Sans CJK KR" w:eastAsia="Noto Sans CJK KR" w:cs="Noto Sans CJK KR"/>
          <w:sz w:val="14"/>
        </w:rPr>
        <w:t>Federal Deposit Insurance Corporation. Resolution Authority. (2025). https://www.fdic.gov/resolutions/resolution-authority.</w:t>
      </w:r>
    </w:p>
    <w:p>
      <w:pPr>
        <w:pStyle w:val="aff4"/>
        <w:spacing w:after="20" w:line="240" w:lineRule="auto"/>
        <w:ind w:left="220" w:hanging="220"/>
      </w:pPr>
      <w:r>
        <w:rPr>
          <w:rFonts w:ascii="Noto Sans CJK KR" w:hAnsi="Noto Sans CJK KR" w:eastAsia="Noto Sans CJK KR" w:cs="Noto Sans CJK KR"/>
          <w:sz w:val="14"/>
        </w:rPr>
        <w:t>Federal Reserve History. Bank Holiday of 1933. (2013). https://www.federalreservehistory.org/essays/bank-holiday-of-1933.</w:t>
      </w:r>
    </w:p>
    <w:p>
      <w:pPr>
        <w:pStyle w:val="aff4"/>
        <w:spacing w:after="20" w:line="240" w:lineRule="auto"/>
        <w:ind w:left="220" w:hanging="220"/>
      </w:pPr>
      <w:r>
        <w:rPr>
          <w:rFonts w:ascii="Noto Sans CJK KR" w:hAnsi="Noto Sans CJK KR" w:eastAsia="Noto Sans CJK KR" w:cs="Noto Sans CJK KR"/>
          <w:sz w:val="14"/>
        </w:rPr>
        <w:t>Federal Reserve History. Federal Reserve Act Signed into Law. (2013). https://www.federalreservehistory.org/essays/federal-reserve-act-signed.</w:t>
      </w:r>
    </w:p>
    <w:p>
      <w:pPr>
        <w:pStyle w:val="aff4"/>
        <w:spacing w:after="20" w:line="240" w:lineRule="auto"/>
        <w:ind w:left="220" w:hanging="220"/>
      </w:pPr>
      <w:r>
        <w:rPr>
          <w:rFonts w:ascii="Noto Sans CJK KR" w:hAnsi="Noto Sans CJK KR" w:eastAsia="Noto Sans CJK KR" w:cs="Noto Sans CJK KR"/>
          <w:sz w:val="14"/>
        </w:rPr>
        <w:t>Federal Reserve History. Creation of the Bretton Woods System. (2013). Federal Reserve Bank of St. Louis. https://www.federalreservehistory.org/essays/bretton-woods-created.</w:t>
      </w:r>
    </w:p>
    <w:p>
      <w:pPr>
        <w:pStyle w:val="aff4"/>
        <w:spacing w:after="20" w:line="240" w:lineRule="auto"/>
        <w:ind w:left="220" w:hanging="220"/>
      </w:pPr>
      <w:r>
        <w:rPr>
          <w:rFonts w:ascii="Noto Sans CJK KR" w:hAnsi="Noto Sans CJK KR" w:eastAsia="Noto Sans CJK KR" w:cs="Noto Sans CJK KR"/>
          <w:sz w:val="14"/>
        </w:rPr>
        <w:t>Federal Reserve History. Bretton Woods System Launched. (2013). Federal Reserve Bank of St. Louis. https://www.federalreservehistory.org/essays/bretton-woods-launched.</w:t>
      </w:r>
    </w:p>
    <w:p>
      <w:pPr>
        <w:pStyle w:val="aff4"/>
        <w:spacing w:after="20" w:line="240" w:lineRule="auto"/>
        <w:ind w:left="220" w:hanging="220"/>
      </w:pPr>
      <w:r>
        <w:rPr>
          <w:rFonts w:ascii="Noto Sans CJK KR" w:hAnsi="Noto Sans CJK KR" w:eastAsia="Noto Sans CJK KR" w:cs="Noto Sans CJK KR"/>
          <w:sz w:val="14"/>
        </w:rPr>
        <w:t>Federal Reserve History. Gold Convertibility Ends. (2013). Federal Reserve Bank of St. Louis. https://www.federalreservehistory.org/essays/gold-convertibility-ends.</w:t>
      </w:r>
    </w:p>
    <w:p>
      <w:pPr>
        <w:pStyle w:val="aff4"/>
        <w:spacing w:after="20" w:line="240" w:lineRule="auto"/>
        <w:ind w:left="220" w:hanging="220"/>
      </w:pPr>
      <w:r>
        <w:rPr>
          <w:rFonts w:ascii="Noto Sans CJK KR" w:hAnsi="Noto Sans CJK KR" w:eastAsia="Noto Sans CJK KR" w:cs="Noto Sans CJK KR"/>
          <w:sz w:val="14"/>
        </w:rPr>
        <w:t>Federal Reserve History. The Great Recession and Its Aftermath. (2013). Federal Reserve Bank of St. Louis. https://www.federalreservehistory.org/essays/great-recession-and-its-aftermath.</w:t>
      </w:r>
    </w:p>
    <w:p>
      <w:pPr>
        <w:pStyle w:val="aff4"/>
        <w:spacing w:after="20" w:line="240" w:lineRule="auto"/>
        <w:ind w:left="220" w:hanging="220"/>
      </w:pPr>
      <w:r>
        <w:rPr>
          <w:rFonts w:ascii="Noto Sans CJK KR" w:hAnsi="Noto Sans CJK KR" w:eastAsia="Noto Sans CJK KR" w:cs="Noto Sans CJK KR"/>
          <w:sz w:val="14"/>
        </w:rPr>
        <w:t>Federal Reserve History. Treasury-Fed Accord. (2013). Federal Reserve Bank of St. Louis. https://www.federalreservehistory.org/essays/treasury-fed-accord.</w:t>
      </w:r>
    </w:p>
    <w:p>
      <w:pPr>
        <w:pStyle w:val="aff4"/>
        <w:spacing w:after="20" w:line="240" w:lineRule="auto"/>
        <w:ind w:left="220" w:hanging="220"/>
      </w:pPr>
      <w:r>
        <w:rPr>
          <w:rFonts w:ascii="Noto Sans CJK KR" w:hAnsi="Noto Sans CJK KR" w:eastAsia="Noto Sans CJK KR" w:cs="Noto Sans CJK KR"/>
          <w:sz w:val="14"/>
        </w:rPr>
        <w:t>Federal Reserve History. Before the Fed: The Historical Precedents of the Federal Reserve System. (2015). https://www.federalreservehistory.org/essays/before-the-fed.</w:t>
      </w:r>
    </w:p>
    <w:p>
      <w:pPr>
        <w:pStyle w:val="aff4"/>
        <w:spacing w:after="20" w:line="240" w:lineRule="auto"/>
        <w:ind w:left="220" w:hanging="220"/>
      </w:pPr>
      <w:r>
        <w:rPr>
          <w:rFonts w:ascii="Noto Sans CJK KR" w:hAnsi="Noto Sans CJK KR" w:eastAsia="Noto Sans CJK KR" w:cs="Noto Sans CJK KR"/>
          <w:sz w:val="14"/>
        </w:rPr>
        <w:t>Federal Reserve History. Banking Panics of the Gilded Age. (2015). https://www.federalreservehistory.org/essays/banking-panics-of-the-gilded-age.</w:t>
      </w:r>
    </w:p>
    <w:p>
      <w:pPr>
        <w:pStyle w:val="aff4"/>
        <w:spacing w:after="20" w:line="240" w:lineRule="auto"/>
        <w:ind w:left="220" w:hanging="220"/>
      </w:pPr>
      <w:r>
        <w:rPr>
          <w:rFonts w:ascii="Noto Sans CJK KR" w:hAnsi="Noto Sans CJK KR" w:eastAsia="Noto Sans CJK KR" w:cs="Noto Sans CJK KR"/>
          <w:sz w:val="14"/>
        </w:rPr>
        <w:t>Federal Reserve History. The Meeting at Jekyll Island. (2015). https://www.federalreservehistory.org/essays/jekyll-island-conference.</w:t>
      </w:r>
    </w:p>
    <w:p>
      <w:pPr>
        <w:pStyle w:val="aff4"/>
        <w:spacing w:after="20" w:line="240" w:lineRule="auto"/>
        <w:ind w:left="220" w:hanging="220"/>
      </w:pPr>
      <w:r>
        <w:rPr>
          <w:rFonts w:ascii="Noto Sans CJK KR" w:hAnsi="Noto Sans CJK KR" w:eastAsia="Noto Sans CJK KR" w:cs="Noto Sans CJK KR"/>
          <w:sz w:val="14"/>
        </w:rPr>
        <w:t>Federal Reserve History. Federal Reserve Support for Specific Institutions. (2015). Federal Reserve Bank of St. Louis. https://www.federalreservehistory.org/essays/support-for-specific-institutions.</w:t>
      </w:r>
    </w:p>
    <w:p>
      <w:pPr>
        <w:pStyle w:val="aff4"/>
        <w:spacing w:after="20" w:line="240" w:lineRule="auto"/>
        <w:ind w:left="220" w:hanging="220"/>
      </w:pPr>
      <w:r>
        <w:rPr>
          <w:rFonts w:ascii="Noto Sans CJK KR" w:hAnsi="Noto Sans CJK KR" w:eastAsia="Noto Sans CJK KR" w:cs="Noto Sans CJK KR"/>
          <w:sz w:val="14"/>
        </w:rPr>
        <w:t>Federal Reserve History. National Banking Acts of 1863 and 1864. (2022). https://www.federalreservehistory.org/essays/national-banking-acts.</w:t>
      </w:r>
    </w:p>
    <w:p>
      <w:pPr>
        <w:pStyle w:val="aff4"/>
        <w:spacing w:after="20" w:line="240" w:lineRule="auto"/>
        <w:ind w:left="220" w:hanging="220"/>
      </w:pPr>
      <w:r>
        <w:rPr>
          <w:rFonts w:ascii="Noto Sans CJK KR" w:hAnsi="Noto Sans CJK KR" w:eastAsia="Noto Sans CJK KR" w:cs="Noto Sans CJK KR"/>
          <w:sz w:val="14"/>
        </w:rPr>
        <w:t>Federal Reserve History. The Fed's Structure. (2026). https://www.federalreservehistory.org/essays/fed-structure.</w:t>
      </w:r>
    </w:p>
    <w:p>
      <w:pPr>
        <w:pStyle w:val="aff4"/>
        <w:spacing w:after="20" w:line="240" w:lineRule="auto"/>
        <w:ind w:left="220" w:hanging="220"/>
      </w:pPr>
      <w:r>
        <w:rPr>
          <w:rFonts w:ascii="Noto Sans CJK KR" w:hAnsi="Noto Sans CJK KR" w:eastAsia="Noto Sans CJK KR" w:cs="Noto Sans CJK KR"/>
          <w:sz w:val="14"/>
        </w:rPr>
        <w:t>Financial Action Task Force. The FATF Recommendations, as Amended October 2025. (2025). https://www.fatf-gafi.org/en/publications/Fatfrecommendations/Fatf-recommendations.html.</w:t>
      </w:r>
    </w:p>
    <w:p>
      <w:pPr>
        <w:pStyle w:val="aff4"/>
        <w:spacing w:after="20" w:line="240" w:lineRule="auto"/>
        <w:ind w:left="220" w:hanging="220"/>
      </w:pPr>
      <w:r>
        <w:rPr>
          <w:rFonts w:ascii="Noto Sans CJK KR" w:hAnsi="Noto Sans CJK KR" w:eastAsia="Noto Sans CJK KR" w:cs="Noto Sans CJK KR"/>
          <w:sz w:val="14"/>
        </w:rPr>
        <w:t>Financial Crisis Inquiry Commission. The Financial Crisis Inquiry Report. (2011). United States Government Publishing Office. https://www.govinfo.gov/content/pkg/GPO-FCIC/pdf/GPO-FCIC.pdf.</w:t>
      </w:r>
    </w:p>
    <w:p>
      <w:pPr>
        <w:pStyle w:val="aff4"/>
        <w:spacing w:after="20" w:line="240" w:lineRule="auto"/>
        <w:ind w:left="220" w:hanging="220"/>
      </w:pPr>
      <w:r>
        <w:rPr>
          <w:rFonts w:ascii="Noto Sans CJK KR" w:hAnsi="Noto Sans CJK KR" w:eastAsia="Noto Sans CJK KR" w:cs="Noto Sans CJK KR"/>
          <w:sz w:val="14"/>
        </w:rPr>
        <w:t>Financial Stability Board. Key Attributes of Effective Resolution Regimes for Financial Institutions. (2011). https://www.fsb.org/work-of-the-fsb/market-and-institutional-resilience/post-2008-financial-crisis-reforms/effective-resolution-regimes-and-policies/key-attributes-of-effective-resolution-regimes-for-financial-institutions/.</w:t>
      </w:r>
    </w:p>
    <w:p>
      <w:pPr>
        <w:pStyle w:val="aff4"/>
        <w:spacing w:after="20" w:line="240" w:lineRule="auto"/>
        <w:ind w:left="220" w:hanging="220"/>
      </w:pPr>
      <w:r>
        <w:rPr>
          <w:rFonts w:ascii="Noto Sans CJK KR" w:hAnsi="Noto Sans CJK KR" w:eastAsia="Noto Sans CJK KR" w:cs="Noto Sans CJK KR"/>
          <w:sz w:val="14"/>
        </w:rPr>
        <w:t>Financial Stability Board. Shadow Banking: Strengthening Oversight and Regulation. (2011). https://www.fsb.org/2011/10/r_111027a/.</w:t>
      </w:r>
    </w:p>
    <w:p>
      <w:pPr>
        <w:pStyle w:val="aff4"/>
        <w:spacing w:after="20" w:line="240" w:lineRule="auto"/>
        <w:ind w:left="220" w:hanging="220"/>
      </w:pPr>
      <w:r>
        <w:rPr>
          <w:rFonts w:ascii="Noto Sans CJK KR" w:hAnsi="Noto Sans CJK KR" w:eastAsia="Noto Sans CJK KR" w:cs="Noto Sans CJK KR"/>
          <w:sz w:val="14"/>
        </w:rPr>
        <w:t>Financial Stability Board. Principles on Loss-Absorbing and Recapitalisation Capacity of G-SIBs in Resolution: Total Loss-Absorbing Capacity Term Sheet. (2015). https://www.fsb.org/2015/11/total-loss-absorbing-capacity-tlac-principles-and-term-sheet-2/.</w:t>
      </w:r>
    </w:p>
    <w:p>
      <w:pPr>
        <w:pStyle w:val="aff4"/>
        <w:spacing w:after="20" w:line="240" w:lineRule="auto"/>
        <w:ind w:left="220" w:hanging="220"/>
      </w:pPr>
      <w:r>
        <w:rPr>
          <w:rFonts w:ascii="Noto Sans CJK KR" w:hAnsi="Noto Sans CJK KR" w:eastAsia="Noto Sans CJK KR" w:cs="Noto Sans CJK KR"/>
          <w:sz w:val="14"/>
        </w:rPr>
        <w:t>Financial Stability Board. Holistic Review of the March Market Turmoil. (2020). https://www.fsb.org/2020/11/holistic-review-of-the-march-market-turmoil/.</w:t>
      </w:r>
    </w:p>
    <w:p>
      <w:pPr>
        <w:pStyle w:val="aff4"/>
        <w:spacing w:after="20" w:line="240" w:lineRule="auto"/>
        <w:ind w:left="220" w:hanging="220"/>
      </w:pPr>
      <w:r>
        <w:rPr>
          <w:rFonts w:ascii="Noto Sans CJK KR" w:hAnsi="Noto Sans CJK KR" w:eastAsia="Noto Sans CJK KR" w:cs="Noto Sans CJK KR"/>
          <w:sz w:val="14"/>
        </w:rPr>
        <w:t>Financial Stability Board. High-level Recommendations for the Regulation, Supervision and Oversight of Crypto-asset Activities and Markets. (2023). https://www.fsb.org/2023/07/high-level-recommendations-for-the-regulation-supervision-and-oversight-of-crypto-asset-activities-and-markets-final-report/.</w:t>
      </w:r>
    </w:p>
    <w:p>
      <w:pPr>
        <w:pStyle w:val="aff4"/>
        <w:spacing w:after="20" w:line="240" w:lineRule="auto"/>
        <w:ind w:left="220" w:hanging="220"/>
      </w:pPr>
      <w:r>
        <w:rPr>
          <w:rFonts w:ascii="Noto Sans CJK KR" w:hAnsi="Noto Sans CJK KR" w:eastAsia="Noto Sans CJK KR" w:cs="Noto Sans CJK KR"/>
          <w:sz w:val="14"/>
        </w:rPr>
        <w:t>Financial Stability Board. Recommendations to Achieve Greater Convergence in Cyber Incident Reporting. (2023). https://www.fsb.org/2023/04/recommendations-to-achieve-greater-convergence-in-cyber-incident-reporting-final-report-2/.</w:t>
      </w:r>
    </w:p>
    <w:p>
      <w:pPr>
        <w:pStyle w:val="aff4"/>
        <w:spacing w:after="20" w:line="240" w:lineRule="auto"/>
        <w:ind w:left="220" w:hanging="220"/>
      </w:pPr>
      <w:r>
        <w:rPr>
          <w:rFonts w:ascii="Noto Sans CJK KR" w:hAnsi="Noto Sans CJK KR" w:eastAsia="Noto Sans CJK KR" w:cs="Noto Sans CJK KR"/>
          <w:sz w:val="14"/>
        </w:rPr>
        <w:t>Financial Stability Board. High-level Recommendations for the Regulation, Supervision and Oversight of Global Stablecoin Arrangements. (2023). https://www.fsb.org/2023/07/high-level-recommendations-for-the-regulation-supervision-and-oversight-of-global-stablecoin-arrangements-final-report/.</w:t>
      </w:r>
    </w:p>
    <w:p>
      <w:pPr>
        <w:pStyle w:val="aff4"/>
        <w:spacing w:after="20" w:line="240" w:lineRule="auto"/>
        <w:ind w:left="220" w:hanging="220"/>
      </w:pPr>
      <w:r>
        <w:rPr>
          <w:rFonts w:ascii="Noto Sans CJK KR" w:hAnsi="Noto Sans CJK KR" w:eastAsia="Noto Sans CJK KR" w:cs="Noto Sans CJK KR"/>
          <w:sz w:val="14"/>
        </w:rPr>
        <w:t>Financial Stability Board. Format for Incident Reporting Exchange (FIRE): Final Report. (2025). https://www.fsb.org/2025/04/format-for-incident-reporting-exchange-fire-final-report/.</w:t>
      </w:r>
    </w:p>
    <w:p>
      <w:pPr>
        <w:pStyle w:val="aff4"/>
        <w:spacing w:after="20" w:line="240" w:lineRule="auto"/>
        <w:ind w:left="220" w:hanging="220"/>
      </w:pPr>
      <w:r>
        <w:rPr>
          <w:rFonts w:ascii="Noto Sans CJK KR" w:hAnsi="Noto Sans CJK KR" w:eastAsia="Noto Sans CJK KR" w:cs="Noto Sans CJK KR"/>
          <w:sz w:val="14"/>
        </w:rPr>
        <w:t>Financial Supervisory Commission of the Republic of Korea. FSC Press Release upon Ailing Bank Resolution. (1998). https://www.fsc.go.kr/eng/pr010101/21593.</w:t>
      </w:r>
    </w:p>
    <w:p>
      <w:pPr>
        <w:pStyle w:val="aff4"/>
        <w:spacing w:after="20" w:line="240" w:lineRule="auto"/>
        <w:ind w:left="220" w:hanging="220"/>
      </w:pPr>
      <w:r>
        <w:rPr>
          <w:rFonts w:ascii="Noto Sans CJK KR" w:hAnsi="Noto Sans CJK KR" w:eastAsia="Noto Sans CJK KR" w:cs="Noto Sans CJK KR"/>
          <w:sz w:val="14"/>
        </w:rPr>
        <w:t>Fourth Lateran Council. Canon 67 Concerning Usury and Jews. (1215). https://www.ccjr.us/dialogika-resources/primary-texts-from-the-history-of-the-relationship/lateran4.</w:t>
      </w:r>
    </w:p>
    <w:p>
      <w:pPr>
        <w:pStyle w:val="aff4"/>
        <w:spacing w:after="20" w:line="240" w:lineRule="auto"/>
        <w:ind w:left="220" w:hanging="220"/>
      </w:pPr>
      <w:r>
        <w:rPr>
          <w:rFonts w:ascii="Noto Sans CJK KR" w:hAnsi="Noto Sans CJK KR" w:eastAsia="Noto Sans CJK KR" w:cs="Noto Sans CJK KR"/>
          <w:sz w:val="14"/>
        </w:rPr>
        <w:t>Gary Richardson. Banking Panics of 1930--31. (2013). https://www.federalreservehistory.org/essays/banking-panics-1930-31.</w:t>
      </w:r>
    </w:p>
    <w:p>
      <w:pPr>
        <w:pStyle w:val="aff4"/>
        <w:spacing w:after="20" w:line="240" w:lineRule="auto"/>
        <w:ind w:left="220" w:hanging="220"/>
      </w:pPr>
      <w:r>
        <w:rPr>
          <w:rFonts w:ascii="Noto Sans CJK KR" w:hAnsi="Noto Sans CJK KR" w:eastAsia="Noto Sans CJK KR" w:cs="Noto Sans CJK KR"/>
          <w:sz w:val="14"/>
        </w:rPr>
        <w:t>Gary Richardson. The Great Depression. (2013). https://www.federalreservehistory.org/essays/great-depression.</w:t>
      </w:r>
    </w:p>
    <w:p>
      <w:pPr>
        <w:pStyle w:val="aff4"/>
        <w:spacing w:after="20" w:line="240" w:lineRule="auto"/>
        <w:ind w:left="220" w:hanging="220"/>
      </w:pPr>
      <w:r>
        <w:rPr>
          <w:rFonts w:ascii="Noto Sans CJK KR" w:hAnsi="Noto Sans CJK KR" w:eastAsia="Noto Sans CJK KR" w:cs="Noto Sans CJK KR"/>
          <w:sz w:val="14"/>
        </w:rPr>
        <w:t>Gary Richardson. Stock Market Crash of 1929. (2013). https://www.federalreservehistory.org/essays/stock-market-crash-of-1929.</w:t>
      </w:r>
    </w:p>
    <w:p>
      <w:pPr>
        <w:pStyle w:val="aff4"/>
        <w:spacing w:after="20" w:line="240" w:lineRule="auto"/>
        <w:ind w:left="220" w:hanging="220"/>
      </w:pPr>
      <w:r>
        <w:rPr>
          <w:rFonts w:ascii="Noto Sans CJK KR" w:hAnsi="Noto Sans CJK KR" w:eastAsia="Noto Sans CJK KR" w:cs="Noto Sans CJK KR"/>
          <w:sz w:val="14"/>
        </w:rPr>
        <w:t>Government of Thailand. Thailand: Letter of Intent. (1997). International Monetary Fund. https://www.imf.org/external/np/loi/081497.htm.</w:t>
      </w:r>
    </w:p>
    <w:p>
      <w:pPr>
        <w:pStyle w:val="aff4"/>
        <w:spacing w:after="20" w:line="240" w:lineRule="auto"/>
        <w:ind w:left="220" w:hanging="220"/>
      </w:pPr>
      <w:r>
        <w:rPr>
          <w:rFonts w:ascii="Noto Sans CJK KR" w:hAnsi="Noto Sans CJK KR" w:eastAsia="Noto Sans CJK KR" w:cs="Noto Sans CJK KR"/>
          <w:sz w:val="14"/>
        </w:rPr>
        <w:t>Government of the Republic of Korea. Korea: Letter of Intent, December 24, 1997. (1997). International Monetary Fund. https://www.imf.org/external/np/loi/122497.htm.</w:t>
      </w:r>
    </w:p>
    <w:p>
      <w:pPr>
        <w:pStyle w:val="aff4"/>
        <w:spacing w:after="20" w:line="240" w:lineRule="auto"/>
        <w:ind w:left="220" w:hanging="220"/>
      </w:pPr>
      <w:r>
        <w:rPr>
          <w:rFonts w:ascii="Noto Sans CJK KR" w:hAnsi="Noto Sans CJK KR" w:eastAsia="Noto Sans CJK KR" w:cs="Noto Sans CJK KR"/>
          <w:sz w:val="14"/>
        </w:rPr>
        <w:t>Government of the Republic of Korea. Korea: Letter of Intent, December 3, 1997. (1997). International Monetary Fund. https://www.imf.org/external/np/loi/120397.htm.</w:t>
      </w:r>
    </w:p>
    <w:p>
      <w:pPr>
        <w:pStyle w:val="aff4"/>
        <w:spacing w:after="20" w:line="240" w:lineRule="auto"/>
        <w:ind w:left="220" w:hanging="220"/>
      </w:pPr>
      <w:r>
        <w:rPr>
          <w:rFonts w:ascii="Noto Sans CJK KR" w:hAnsi="Noto Sans CJK KR" w:eastAsia="Noto Sans CJK KR" w:cs="Noto Sans CJK KR"/>
          <w:sz w:val="14"/>
        </w:rPr>
        <w:t>Government of the Republic of Korea and Bank of Korea. Korea Letter of Intent, December 3, 1997. (1997). International Monetary Fund. https://www.imf.org/external/np/loi/120397.htm.</w:t>
      </w:r>
    </w:p>
    <w:p>
      <w:pPr>
        <w:pStyle w:val="aff4"/>
        <w:spacing w:after="20" w:line="240" w:lineRule="auto"/>
        <w:ind w:left="220" w:hanging="220"/>
      </w:pPr>
      <w:r>
        <w:rPr>
          <w:rFonts w:ascii="Noto Sans CJK KR" w:hAnsi="Noto Sans CJK KR" w:eastAsia="Noto Sans CJK KR" w:cs="Noto Sans CJK KR"/>
          <w:sz w:val="14"/>
        </w:rPr>
        <w:t>Government of the Republic of Korea and Bank of Korea. Korea Letter of Intent, December 24, 1997. (1997). International Monetary Fund. https://www.imf.org/external/np/loi/122497.htm.</w:t>
      </w:r>
    </w:p>
    <w:p>
      <w:pPr>
        <w:pStyle w:val="aff4"/>
        <w:spacing w:after="20" w:line="240" w:lineRule="auto"/>
        <w:ind w:left="220" w:hanging="220"/>
      </w:pPr>
      <w:r>
        <w:rPr>
          <w:rFonts w:ascii="Noto Sans CJK KR" w:hAnsi="Noto Sans CJK KR" w:eastAsia="Noto Sans CJK KR" w:cs="Noto Sans CJK KR"/>
          <w:sz w:val="14"/>
        </w:rPr>
        <w:t>Government of the Republic of Korea and Bank of Korea. Korea Letter of Intent and Memorandum of Economic Policies, February 7, 1998. (1998). International Monetary Fund. https://www.imf.org/external/np/loi/020798.htm.</w:t>
      </w:r>
    </w:p>
    <w:p>
      <w:pPr>
        <w:pStyle w:val="aff4"/>
        <w:spacing w:after="20" w:line="240" w:lineRule="auto"/>
        <w:ind w:left="220" w:hanging="220"/>
      </w:pPr>
      <w:r>
        <w:rPr>
          <w:rFonts w:ascii="Noto Sans CJK KR" w:hAnsi="Noto Sans CJK KR" w:eastAsia="Noto Sans CJK KR" w:cs="Noto Sans CJK KR"/>
          <w:sz w:val="14"/>
        </w:rPr>
        <w:t>Greenspan, Alan. Testimony on Private-Sector Refinancing of the Large Hedge Fund Long-Term Capital Management. (1998). Board of Governors of the Federal Reserve System. https://www.federalreserve.gov/boarddocs/testimony/1998/19981001.htm.</w:t>
      </w:r>
    </w:p>
    <w:p>
      <w:pPr>
        <w:pStyle w:val="aff4"/>
        <w:spacing w:after="20" w:line="240" w:lineRule="auto"/>
        <w:ind w:left="220" w:hanging="220"/>
      </w:pPr>
      <w:r>
        <w:rPr>
          <w:rFonts w:ascii="Noto Sans CJK KR" w:hAnsi="Noto Sans CJK KR" w:eastAsia="Noto Sans CJK KR" w:cs="Noto Sans CJK KR"/>
          <w:sz w:val="14"/>
        </w:rPr>
        <w:t>Group of Twenty. Declaration of the Summit on Financial Markets and the World Economy. (2008). https://g20.org/wp-content/uploads/2024/10/Declaration-of-the-Summit-on-Financial-Markets-1.pdf.</w:t>
      </w:r>
    </w:p>
    <w:p>
      <w:pPr>
        <w:pStyle w:val="aff4"/>
        <w:spacing w:after="20" w:line="240" w:lineRule="auto"/>
        <w:ind w:left="220" w:hanging="220"/>
      </w:pPr>
      <w:r>
        <w:rPr>
          <w:rFonts w:ascii="Noto Sans CJK KR" w:hAnsi="Noto Sans CJK KR" w:eastAsia="Noto Sans CJK KR" w:cs="Noto Sans CJK KR"/>
          <w:sz w:val="14"/>
        </w:rPr>
        <w:t>Group of Twenty. Declaration on Strengthening the Financial System, London Summit. (2009). https://www.fsb.org/uploads/london_summit_declaration_on_str_financial_system.pdf.</w:t>
      </w:r>
    </w:p>
    <w:p>
      <w:pPr>
        <w:pStyle w:val="aff4"/>
        <w:spacing w:after="20" w:line="240" w:lineRule="auto"/>
        <w:ind w:left="220" w:hanging="220"/>
      </w:pPr>
      <w:r>
        <w:rPr>
          <w:rFonts w:ascii="Noto Sans CJK KR" w:hAnsi="Noto Sans CJK KR" w:eastAsia="Noto Sans CJK KR" w:cs="Noto Sans CJK KR"/>
          <w:sz w:val="14"/>
        </w:rPr>
        <w:t>Hammurabi. The Code of Hammurabi. ({c. 1750 BCE}). https://avalon.law.yale.edu/ancient/hamcode.asp.</w:t>
      </w:r>
    </w:p>
    <w:p>
      <w:pPr>
        <w:pStyle w:val="aff4"/>
        <w:spacing w:after="20" w:line="240" w:lineRule="auto"/>
        <w:ind w:left="220" w:hanging="220"/>
      </w:pPr>
      <w:r>
        <w:rPr>
          <w:rFonts w:ascii="Noto Sans CJK KR" w:hAnsi="Noto Sans CJK KR" w:eastAsia="Noto Sans CJK KR" w:cs="Noto Sans CJK KR"/>
          <w:sz w:val="14"/>
        </w:rPr>
        <w:t>Independent Evaluation Office of the International Monetary Fund. The IMF and Recent Capital Account Crises: Indonesia, Korea, Brazil. (2003). International Monetary Fund. https://www.imf.org/external/np/ieo/2003/cac/index.htm.</w:t>
      </w:r>
    </w:p>
    <w:p>
      <w:pPr>
        <w:pStyle w:val="aff4"/>
        <w:spacing w:after="20" w:line="240" w:lineRule="auto"/>
        <w:ind w:left="220" w:hanging="220"/>
      </w:pPr>
      <w:r>
        <w:rPr>
          <w:rFonts w:ascii="Noto Sans CJK KR" w:hAnsi="Noto Sans CJK KR" w:eastAsia="Noto Sans CJK KR" w:cs="Noto Sans CJK KR"/>
          <w:sz w:val="14"/>
        </w:rPr>
        <w:t>International Monetary Fund. Articles of Agreement of the International Monetary Fund. (1944). https://www.imf.org/en/publications/articles-of-agreement/issues/2016/12/30/articles-of-agreement-of-the-international-monetary-fund-adopted-at-the-united-nations-357.</w:t>
      </w:r>
    </w:p>
    <w:p>
      <w:pPr>
        <w:pStyle w:val="aff4"/>
        <w:spacing w:after="20" w:line="240" w:lineRule="auto"/>
        <w:ind w:left="220" w:hanging="220"/>
      </w:pPr>
      <w:r>
        <w:rPr>
          <w:rFonts w:ascii="Noto Sans CJK KR" w:hAnsi="Noto Sans CJK KR" w:eastAsia="Noto Sans CJK KR" w:cs="Noto Sans CJK KR"/>
          <w:sz w:val="14"/>
        </w:rPr>
        <w:t>International Monetary Fund. Articles of Agreement of the International Monetary Fund. (1945). https://www.imf.org/-/media/files/publications/ft/aa/pdf/index.pdf.</w:t>
      </w:r>
    </w:p>
    <w:p>
      <w:pPr>
        <w:pStyle w:val="aff4"/>
        <w:spacing w:after="20" w:line="240" w:lineRule="auto"/>
        <w:ind w:left="220" w:hanging="220"/>
      </w:pPr>
      <w:r>
        <w:rPr>
          <w:rFonts w:ascii="Noto Sans CJK KR" w:hAnsi="Noto Sans CJK KR" w:eastAsia="Noto Sans CJK KR" w:cs="Noto Sans CJK KR"/>
          <w:sz w:val="14"/>
        </w:rPr>
        <w:t>International Monetary Fund. IMF Approves Stand-by Credit for Korea, Press Release No. 97/55. (1997). https://www.imf.org/external/np/sec/pr/1997/pr9755.htm.</w:t>
      </w:r>
    </w:p>
    <w:p>
      <w:pPr>
        <w:pStyle w:val="aff4"/>
        <w:spacing w:after="20" w:line="240" w:lineRule="auto"/>
        <w:ind w:left="220" w:hanging="220"/>
      </w:pPr>
      <w:r>
        <w:rPr>
          <w:rFonts w:ascii="Noto Sans CJK KR" w:hAnsi="Noto Sans CJK KR" w:eastAsia="Noto Sans CJK KR" w:cs="Noto Sans CJK KR"/>
          <w:sz w:val="14"/>
        </w:rPr>
        <w:t>International Monetary Fund. IMF Approves Stand-by Credit for Thailand, Press Release No. 97/37. (1997). https://www.imf.org/external/np/sec/pr/1997/pr9737.htm.</w:t>
      </w:r>
    </w:p>
    <w:p>
      <w:pPr>
        <w:pStyle w:val="aff4"/>
        <w:spacing w:after="20" w:line="240" w:lineRule="auto"/>
        <w:ind w:left="220" w:hanging="220"/>
      </w:pPr>
      <w:r>
        <w:rPr>
          <w:rFonts w:ascii="Noto Sans CJK KR" w:hAnsi="Noto Sans CJK KR" w:eastAsia="Noto Sans CJK KR" w:cs="Noto Sans CJK KR"/>
          <w:sz w:val="14"/>
        </w:rPr>
        <w:t>International Monetary Fund. Historical Dictionary of the IMF: Bretton Woods Conference. (2000). https://www.elibrary.imf.org/abstract/book/9781475507249/ch02.xml.</w:t>
      </w:r>
    </w:p>
    <w:p>
      <w:pPr>
        <w:pStyle w:val="aff4"/>
        <w:spacing w:after="20" w:line="240" w:lineRule="auto"/>
        <w:ind w:left="220" w:hanging="220"/>
      </w:pPr>
      <w:r>
        <w:rPr>
          <w:rFonts w:ascii="Noto Sans CJK KR" w:hAnsi="Noto Sans CJK KR" w:eastAsia="Noto Sans CJK KR" w:cs="Noto Sans CJK KR"/>
          <w:sz w:val="14"/>
        </w:rPr>
        <w:t>International Monetary Fund. Macroprudential Policy: An Organizing Framework. (2011). https://www.elibrary.imf.org/view/journals/007/2011/017/article-A001-en.xml.</w:t>
      </w:r>
    </w:p>
    <w:p>
      <w:pPr>
        <w:pStyle w:val="aff4"/>
        <w:spacing w:after="20" w:line="240" w:lineRule="auto"/>
        <w:ind w:left="220" w:hanging="220"/>
      </w:pPr>
      <w:r>
        <w:rPr>
          <w:rFonts w:ascii="Noto Sans CJK KR" w:hAnsi="Noto Sans CJK KR" w:eastAsia="Noto Sans CJK KR" w:cs="Noto Sans CJK KR"/>
          <w:sz w:val="14"/>
        </w:rPr>
        <w:t>International Monetary Fund. The End of Bretton Woods, 1972--74. (2012). The International Monetary Fund 1972--1978: Cooperation on Trial. https://www.elibrary.imf.org/display/book/9781475507249/ch01.xml.</w:t>
      </w:r>
    </w:p>
    <w:p>
      <w:pPr>
        <w:pStyle w:val="aff4"/>
        <w:spacing w:after="20" w:line="240" w:lineRule="auto"/>
        <w:ind w:left="220" w:hanging="220"/>
      </w:pPr>
      <w:r>
        <w:rPr>
          <w:rFonts w:ascii="Noto Sans CJK KR" w:hAnsi="Noto Sans CJK KR" w:eastAsia="Noto Sans CJK KR" w:cs="Noto Sans CJK KR"/>
          <w:sz w:val="14"/>
        </w:rPr>
        <w:t>International Monetary Fund. Articles of Agreement, Article VI: Capital Transfers. (2020). https://www.elibrary.imf.org/abstract/book/9781513521244/ch06.xml.</w:t>
      </w:r>
    </w:p>
    <w:p>
      <w:pPr>
        <w:pStyle w:val="aff4"/>
        <w:spacing w:after="20" w:line="240" w:lineRule="auto"/>
        <w:ind w:left="220" w:hanging="220"/>
      </w:pPr>
      <w:r>
        <w:rPr>
          <w:rFonts w:ascii="Noto Sans CJK KR" w:hAnsi="Noto Sans CJK KR" w:eastAsia="Noto Sans CJK KR" w:cs="Noto Sans CJK KR"/>
          <w:sz w:val="14"/>
        </w:rPr>
        <w:t>International Monetary Fund. Standards and Codes. (2025). https://www.imf.org/external/standards/index.htm.</w:t>
      </w:r>
    </w:p>
    <w:p>
      <w:pPr>
        <w:pStyle w:val="aff4"/>
        <w:spacing w:after="20" w:line="240" w:lineRule="auto"/>
        <w:ind w:left="220" w:hanging="220"/>
      </w:pPr>
      <w:r>
        <w:rPr>
          <w:rFonts w:ascii="Noto Sans CJK KR" w:hAnsi="Noto Sans CJK KR" w:eastAsia="Noto Sans CJK KR" w:cs="Noto Sans CJK KR"/>
          <w:sz w:val="14"/>
        </w:rPr>
        <w:t>International Monetary Fund. Financial Sector Assessment Program. (2026). https://www.imf.org/en/about/factsheets/sheets/2023/financial-sector-assessment-program-fsap.</w:t>
      </w:r>
    </w:p>
    <w:p>
      <w:pPr>
        <w:pStyle w:val="aff4"/>
        <w:spacing w:after="20" w:line="240" w:lineRule="auto"/>
        <w:ind w:left="220" w:hanging="220"/>
      </w:pPr>
      <w:r>
        <w:rPr>
          <w:rFonts w:ascii="Noto Sans CJK KR" w:hAnsi="Noto Sans CJK KR" w:eastAsia="Noto Sans CJK KR" w:cs="Noto Sans CJK KR"/>
          <w:sz w:val="14"/>
        </w:rPr>
        <w:t>International Monetary Fund. The IMF in History: Timeline. (2026). https://www.imf.org/external/about/timeline/index.htm.</w:t>
      </w:r>
    </w:p>
    <w:p>
      <w:pPr>
        <w:pStyle w:val="aff4"/>
        <w:spacing w:after="20" w:line="240" w:lineRule="auto"/>
        <w:ind w:left="220" w:hanging="220"/>
      </w:pPr>
      <w:r>
        <w:rPr>
          <w:rFonts w:ascii="Noto Sans CJK KR" w:hAnsi="Noto Sans CJK KR" w:eastAsia="Noto Sans CJK KR" w:cs="Noto Sans CJK KR"/>
          <w:sz w:val="14"/>
        </w:rPr>
        <w:t>Jon R. Moen and Ellis W. Tallman. The Panic of 1907. (2015). https://www.federalreservehistory.org/essays/panic-of-1907.</w:t>
      </w:r>
    </w:p>
    <w:p>
      <w:pPr>
        <w:pStyle w:val="aff4"/>
        <w:spacing w:after="20" w:line="240" w:lineRule="auto"/>
        <w:ind w:left="220" w:hanging="220"/>
      </w:pPr>
      <w:r>
        <w:rPr>
          <w:rFonts w:ascii="Noto Sans CJK KR" w:hAnsi="Noto Sans CJK KR" w:eastAsia="Noto Sans CJK KR" w:cs="Noto Sans CJK KR"/>
          <w:sz w:val="14"/>
        </w:rPr>
        <w:t>Kristie M. Engemann. Banking Panics of 1931--33. (2013). https://www.federalreservehistory.org/essays/banking-panics-1931-33.</w:t>
      </w:r>
    </w:p>
    <w:p>
      <w:pPr>
        <w:pStyle w:val="aff4"/>
        <w:spacing w:after="20" w:line="240" w:lineRule="auto"/>
        <w:ind w:left="220" w:hanging="220"/>
      </w:pPr>
      <w:r>
        <w:rPr>
          <w:rFonts w:ascii="Noto Sans CJK KR" w:hAnsi="Noto Sans CJK KR" w:eastAsia="Noto Sans CJK KR" w:cs="Noto Sans CJK KR"/>
          <w:sz w:val="14"/>
        </w:rPr>
        <w:t>Lindgren, Carl-Johan and Baliño, Tomás J. T. and Enoch, Charles and Gulde, Anne-Marie and Quintyn, Marc and Teo, Leslie. Financial Sector Crisis and Restructuring: Lessons from Asia. (1999). International Monetary Fund. https://www.imf.org/external/pubs/ft/op/opfinsec/index.htm.</w:t>
      </w:r>
    </w:p>
    <w:p>
      <w:pPr>
        <w:pStyle w:val="aff4"/>
        <w:spacing w:after="20" w:line="240" w:lineRule="auto"/>
        <w:ind w:left="220" w:hanging="220"/>
      </w:pPr>
      <w:r>
        <w:rPr>
          <w:rFonts w:ascii="Noto Sans CJK KR" w:hAnsi="Noto Sans CJK KR" w:eastAsia="Noto Sans CJK KR" w:cs="Noto Sans CJK KR"/>
          <w:sz w:val="14"/>
        </w:rPr>
        <w:t>McCauley, Robert N. and Schenk, Catherine R. Central Bank Swaps Then and Now: Swaps and Dollar Liquidity in the 1960s. (2020). Bank for International Settlements. https://www.bis.org/publ/work851.htm.</w:t>
      </w:r>
    </w:p>
    <w:p>
      <w:pPr>
        <w:pStyle w:val="aff4"/>
        <w:spacing w:after="20" w:line="240" w:lineRule="auto"/>
        <w:ind w:left="220" w:hanging="220"/>
      </w:pPr>
      <w:r>
        <w:rPr>
          <w:rFonts w:ascii="Noto Sans CJK KR" w:hAnsi="Noto Sans CJK KR" w:eastAsia="Noto Sans CJK KR" w:cs="Noto Sans CJK KR"/>
          <w:sz w:val="14"/>
        </w:rPr>
        <w:t>Musee du Louvre. The Code of Hammurabi. ({c. 1750 BCE}). https://www.louvre.fr/en/the-code-of-hammurabi.</w:t>
      </w:r>
    </w:p>
    <w:p>
      <w:pPr>
        <w:pStyle w:val="aff4"/>
        <w:spacing w:after="20" w:line="240" w:lineRule="auto"/>
        <w:ind w:left="220" w:hanging="220"/>
      </w:pPr>
      <w:r>
        <w:rPr>
          <w:rFonts w:ascii="Noto Sans CJK KR" w:hAnsi="Noto Sans CJK KR" w:eastAsia="Noto Sans CJK KR" w:cs="Noto Sans CJK KR"/>
          <w:sz w:val="14"/>
        </w:rPr>
        <w:t>Office of Inspector General, Board of Governors of the Federal Reserve System. The Federal Reserve's Section 13(3) Lending Facilities to Support Overall Market Liquidity: Function, Status, and Risk Management. (2010). Board of Governors of the Federal Reserve System. https://oig.federalreserve.gov/reports/FRS_Lending_Facilities_Report_final-11-23-10_web.htm.</w:t>
      </w:r>
    </w:p>
    <w:p>
      <w:pPr>
        <w:pStyle w:val="aff4"/>
        <w:spacing w:after="20" w:line="240" w:lineRule="auto"/>
        <w:ind w:left="220" w:hanging="220"/>
      </w:pPr>
      <w:r>
        <w:rPr>
          <w:rFonts w:ascii="Noto Sans CJK KR" w:hAnsi="Noto Sans CJK KR" w:eastAsia="Noto Sans CJK KR" w:cs="Noto Sans CJK KR"/>
          <w:sz w:val="14"/>
        </w:rPr>
        <w:t>Office of the Comptroller of the Currency. Founding of the OCC and the National Banking System. (2026). https://occ.treas.gov/about/who-we-are/history/history-of-the-occ/founding-occ-national-bank-system/index-founding-occ-national-banking-system.html.</w:t>
      </w:r>
    </w:p>
    <w:p>
      <w:pPr>
        <w:pStyle w:val="aff4"/>
        <w:spacing w:after="20" w:line="240" w:lineRule="auto"/>
        <w:ind w:left="220" w:hanging="220"/>
      </w:pPr>
      <w:r>
        <w:rPr>
          <w:rFonts w:ascii="Noto Sans CJK KR" w:hAnsi="Noto Sans CJK KR" w:eastAsia="Noto Sans CJK KR" w:cs="Noto Sans CJK KR"/>
          <w:sz w:val="14"/>
        </w:rPr>
        <w:t>Olaf Sleijpen. Amsterdam en De Nederlandsche Bank: een verweven geschiedenis. (2025). https://www.dnb.nl/algemeen-nieuws/speech-2025/amsterdam-en-de-nederlandsche-bank-een-verweven-geschiedenis/.</w:t>
      </w:r>
    </w:p>
    <w:p>
      <w:pPr>
        <w:pStyle w:val="aff4"/>
        <w:spacing w:after="20" w:line="240" w:lineRule="auto"/>
        <w:ind w:left="220" w:hanging="220"/>
      </w:pPr>
      <w:r>
        <w:rPr>
          <w:rFonts w:ascii="Noto Sans CJK KR" w:hAnsi="Noto Sans CJK KR" w:eastAsia="Noto Sans CJK KR" w:cs="Noto Sans CJK KR"/>
          <w:sz w:val="14"/>
        </w:rPr>
        <w:t>Organisation for Economic Co-operation and Development. Forty Years' Experience with the OECD Code of Liberalisation of Capital Movements. (2002). OECD Publishing. https://www.oecd.org/en/publications/forty-years-experience-with-the-oecd-code-of-liberalisation-of-capital-movements_9789264176188-en.html.</w:t>
      </w:r>
    </w:p>
    <w:p>
      <w:pPr>
        <w:pStyle w:val="aff4"/>
        <w:spacing w:after="20" w:line="240" w:lineRule="auto"/>
        <w:ind w:left="220" w:hanging="220"/>
      </w:pPr>
      <w:r>
        <w:rPr>
          <w:rFonts w:ascii="Noto Sans CJK KR" w:hAnsi="Noto Sans CJK KR" w:eastAsia="Noto Sans CJK KR" w:cs="Noto Sans CJK KR"/>
          <w:sz w:val="14"/>
        </w:rPr>
        <w:t>Parliament of the United Kingdom. Coinage Act 1816, 56 Geo. III c. 68. (1816). https://www.legislation.gov.uk/ukpga/Geo3/56/68/contents.</w:t>
      </w:r>
    </w:p>
    <w:p>
      <w:pPr>
        <w:pStyle w:val="aff4"/>
        <w:spacing w:after="20" w:line="240" w:lineRule="auto"/>
        <w:ind w:left="220" w:hanging="220"/>
      </w:pPr>
      <w:r>
        <w:rPr>
          <w:rFonts w:ascii="Noto Sans CJK KR" w:hAnsi="Noto Sans CJK KR" w:eastAsia="Noto Sans CJK KR" w:cs="Noto Sans CJK KR"/>
          <w:sz w:val="14"/>
        </w:rPr>
        <w:t>Parliament of the United Kingdom. House of Commons Debate: Usury Laws Repeal Bill. (1819). https://hansard.parliament.uk/commons/1819-02-10/debates/5a24144c-1554-4226-8be5-1c5d4b788958/UsuryLawsRepealBill.</w:t>
      </w:r>
    </w:p>
    <w:p>
      <w:pPr>
        <w:pStyle w:val="aff4"/>
        <w:spacing w:after="20" w:line="240" w:lineRule="auto"/>
        <w:ind w:left="220" w:hanging="220"/>
      </w:pPr>
      <w:r>
        <w:rPr>
          <w:rFonts w:ascii="Noto Sans CJK KR" w:hAnsi="Noto Sans CJK KR" w:eastAsia="Noto Sans CJK KR" w:cs="Noto Sans CJK KR"/>
          <w:sz w:val="14"/>
        </w:rPr>
        <w:t>Parliament of the United Kingdom. House of Commons Debate: Repeal of the Bubble Act. (1825). https://api.parliament.uk/historic-hansard/commons/1825/jun/02/repeal-of-the-bubble-act.</w:t>
      </w:r>
    </w:p>
    <w:p>
      <w:pPr>
        <w:pStyle w:val="aff4"/>
        <w:spacing w:after="20" w:line="240" w:lineRule="auto"/>
        <w:ind w:left="220" w:hanging="220"/>
      </w:pPr>
      <w:r>
        <w:rPr>
          <w:rFonts w:ascii="Noto Sans CJK KR" w:hAnsi="Noto Sans CJK KR" w:eastAsia="Noto Sans CJK KR" w:cs="Noto Sans CJK KR"/>
          <w:sz w:val="14"/>
        </w:rPr>
        <w:t>Parliament of the United Kingdom. Bank Charter Act 1844, 7 and 8 Vict. c. 32. (1844). https://www.legislation.gov.uk/ukpga/1844/32/pdfs/ukpga_18440032_en.pdf.</w:t>
      </w:r>
    </w:p>
    <w:p>
      <w:pPr>
        <w:pStyle w:val="aff4"/>
        <w:spacing w:after="20" w:line="240" w:lineRule="auto"/>
        <w:ind w:left="220" w:hanging="220"/>
      </w:pPr>
      <w:r>
        <w:rPr>
          <w:rFonts w:ascii="Noto Sans CJK KR" w:hAnsi="Noto Sans CJK KR" w:eastAsia="Noto Sans CJK KR" w:cs="Noto Sans CJK KR"/>
          <w:sz w:val="14"/>
        </w:rPr>
        <w:t>Parliament of the United Kingdom. House of Commons Debate: Joint Stock Companies. (1844). https://api.parliament.uk/historic-hansard/commons/1844/jun/10/joint-stock-companies.</w:t>
      </w:r>
    </w:p>
    <w:p>
      <w:pPr>
        <w:pStyle w:val="aff4"/>
        <w:spacing w:after="20" w:line="240" w:lineRule="auto"/>
        <w:ind w:left="220" w:hanging="220"/>
      </w:pPr>
      <w:r>
        <w:rPr>
          <w:rFonts w:ascii="Noto Sans CJK KR" w:hAnsi="Noto Sans CJK KR" w:eastAsia="Noto Sans CJK KR" w:cs="Noto Sans CJK KR"/>
          <w:sz w:val="14"/>
        </w:rPr>
        <w:t>Parliament of the United Kingdom. Usury Laws Repeal Act 1854, 17 and 18 Vict. c. 90. (1854). https://www.legislation.gov.uk/ukpga/Vict/17-18/90/pdfs/ukpga_18540090_en.pdf.</w:t>
      </w:r>
    </w:p>
    <w:p>
      <w:pPr>
        <w:pStyle w:val="aff4"/>
        <w:spacing w:after="20" w:line="240" w:lineRule="auto"/>
        <w:ind w:left="220" w:hanging="220"/>
      </w:pPr>
      <w:r>
        <w:rPr>
          <w:rFonts w:ascii="Noto Sans CJK KR" w:hAnsi="Noto Sans CJK KR" w:eastAsia="Noto Sans CJK KR" w:cs="Noto Sans CJK KR"/>
          <w:sz w:val="14"/>
        </w:rPr>
        <w:t>Parliament of the United Kingdom. House of Lords Debate: Limited Liability Bill. (1855). https://api.parliament.uk/historic-hansard/lords/1855/aug/09/limited-liability-bill.</w:t>
      </w:r>
    </w:p>
    <w:p>
      <w:pPr>
        <w:pStyle w:val="aff4"/>
        <w:spacing w:after="20" w:line="240" w:lineRule="auto"/>
        <w:ind w:left="220" w:hanging="220"/>
      </w:pPr>
      <w:r>
        <w:rPr>
          <w:rFonts w:ascii="Noto Sans CJK KR" w:hAnsi="Noto Sans CJK KR" w:eastAsia="Noto Sans CJK KR" w:cs="Noto Sans CJK KR"/>
          <w:sz w:val="14"/>
        </w:rPr>
        <w:t>Parliament of the United Kingdom. Limited Liability Act 1855, 18 and 19 Vict. c. 133. (1855). https://www.legislation.gov.uk/ukpga/Vict/18-19/133/contents.</w:t>
      </w:r>
    </w:p>
    <w:p>
      <w:pPr>
        <w:pStyle w:val="aff4"/>
        <w:spacing w:after="20" w:line="240" w:lineRule="auto"/>
        <w:ind w:left="220" w:hanging="220"/>
      </w:pPr>
      <w:r>
        <w:rPr>
          <w:rFonts w:ascii="Noto Sans CJK KR" w:hAnsi="Noto Sans CJK KR" w:eastAsia="Noto Sans CJK KR" w:cs="Noto Sans CJK KR"/>
          <w:sz w:val="14"/>
        </w:rPr>
        <w:t>Parliament of the United Kingdom. Bills of Exchange Act 1882, 45 and 46 Vict. c. 61. (1882). https://www.legislation.gov.uk/ukpga/Vict/45-46/61/contents.</w:t>
      </w:r>
    </w:p>
    <w:p>
      <w:pPr>
        <w:pStyle w:val="aff4"/>
        <w:spacing w:after="20" w:line="240" w:lineRule="auto"/>
        <w:ind w:left="220" w:hanging="220"/>
      </w:pPr>
      <w:r>
        <w:rPr>
          <w:rFonts w:ascii="Noto Sans CJK KR" w:hAnsi="Noto Sans CJK KR" w:eastAsia="Noto Sans CJK KR" w:cs="Noto Sans CJK KR"/>
          <w:sz w:val="14"/>
        </w:rPr>
        <w:t>Parliament of the United Kingdom. Financial Services Act 1986. (1986). The National Archives, United Kingdom. https://www.legislation.gov.uk/ukpga/1986/60/pdfs/ukpga_19860060_en.pdf.</w:t>
      </w:r>
    </w:p>
    <w:p>
      <w:pPr>
        <w:pStyle w:val="aff4"/>
        <w:spacing w:after="20" w:line="240" w:lineRule="auto"/>
        <w:ind w:left="220" w:hanging="220"/>
      </w:pPr>
      <w:r>
        <w:rPr>
          <w:rFonts w:ascii="Noto Sans CJK KR" w:hAnsi="Noto Sans CJK KR" w:eastAsia="Noto Sans CJK KR" w:cs="Noto Sans CJK KR"/>
          <w:sz w:val="14"/>
        </w:rPr>
        <w:t>President's Working Group on Financial Markets. Hedge Funds, Leverage, and the Lessons of Long-Term Capital Management. (1999). United States Department of the Treasury. https://home.treasury.gov/news/press-releases/report3097.</w:t>
      </w:r>
    </w:p>
    <w:p>
      <w:pPr>
        <w:pStyle w:val="aff4"/>
        <w:spacing w:after="20" w:line="240" w:lineRule="auto"/>
        <w:ind w:left="220" w:hanging="220"/>
      </w:pPr>
      <w:r>
        <w:rPr>
          <w:rFonts w:ascii="Noto Sans CJK KR" w:hAnsi="Noto Sans CJK KR" w:eastAsia="Noto Sans CJK KR" w:cs="Noto Sans CJK KR"/>
          <w:sz w:val="14"/>
        </w:rPr>
        <w:t>Rhiannon Sowerbutts and Marco Schneebalg and Florence Hubert. The Demise of Overend Gurney. (2016). https://www.bankofengland.co.uk/quarterly-bulletin/2016/q2/the-demise-of-overend-gurney.</w:t>
      </w:r>
    </w:p>
    <w:p>
      <w:pPr>
        <w:pStyle w:val="aff4"/>
        <w:spacing w:after="20" w:line="240" w:lineRule="auto"/>
        <w:ind w:left="220" w:hanging="220"/>
      </w:pPr>
      <w:r>
        <w:rPr>
          <w:rFonts w:ascii="Noto Sans CJK KR" w:hAnsi="Noto Sans CJK KR" w:eastAsia="Noto Sans CJK KR" w:cs="Noto Sans CJK KR"/>
          <w:sz w:val="14"/>
        </w:rPr>
        <w:t>Royal Mint Museum. Mint Editions, Issue 2: Mechanisation and the Great Recoinage. (2021). https://production.royalmintmuseum.org.uk/globalassets/mint-editions/mint-edition-02_web_pages.pdf.</w:t>
      </w:r>
    </w:p>
    <w:p>
      <w:pPr>
        <w:pStyle w:val="aff4"/>
        <w:spacing w:after="20" w:line="240" w:lineRule="auto"/>
        <w:ind w:left="220" w:hanging="220"/>
      </w:pPr>
      <w:r>
        <w:rPr>
          <w:rFonts w:ascii="Noto Sans CJK KR" w:hAnsi="Noto Sans CJK KR" w:eastAsia="Noto Sans CJK KR" w:cs="Noto Sans CJK KR"/>
          <w:sz w:val="14"/>
        </w:rPr>
        <w:t>Royal Mint Museum. Sir Isaac Newton and the Royal Mint. (2026). https://production.royalmintmuseum.org.uk/stories/commemorate/sir-isaac-newton-and-the-royal-mint/.</w:t>
      </w:r>
    </w:p>
    <w:p>
      <w:pPr>
        <w:pStyle w:val="aff4"/>
        <w:spacing w:after="20" w:line="240" w:lineRule="auto"/>
        <w:ind w:left="220" w:hanging="220"/>
      </w:pPr>
      <w:r>
        <w:rPr>
          <w:rFonts w:ascii="Noto Sans CJK KR" w:hAnsi="Noto Sans CJK KR" w:eastAsia="Noto Sans CJK KR" w:cs="Noto Sans CJK KR"/>
          <w:sz w:val="14"/>
        </w:rPr>
        <w:t>Sandra Kollen Ghizoni and Robert L. Hetzel. Creation and Launch of the Bretton Woods System. (2013). https://www.federalreservehistory.org/essays/bretton-woods-created.</w:t>
      </w:r>
    </w:p>
    <w:p>
      <w:pPr>
        <w:pStyle w:val="aff4"/>
        <w:spacing w:after="20" w:line="240" w:lineRule="auto"/>
        <w:ind w:left="220" w:hanging="220"/>
      </w:pPr>
      <w:r>
        <w:rPr>
          <w:rFonts w:ascii="Noto Sans CJK KR" w:hAnsi="Noto Sans CJK KR" w:eastAsia="Noto Sans CJK KR" w:cs="Noto Sans CJK KR"/>
          <w:sz w:val="14"/>
        </w:rPr>
        <w:t>Schapiro, Mary L. Testimony on Money Market Fund Reform. (2012). United States Securities and Exchange Commission. https://www.sec.gov/newsroom/speeches-statements/2012-ts062112mlshtm.</w:t>
      </w:r>
    </w:p>
    <w:p>
      <w:pPr>
        <w:pStyle w:val="aff4"/>
        <w:spacing w:after="20" w:line="240" w:lineRule="auto"/>
        <w:ind w:left="220" w:hanging="220"/>
      </w:pPr>
      <w:r>
        <w:rPr>
          <w:rFonts w:ascii="Noto Sans CJK KR" w:hAnsi="Noto Sans CJK KR" w:eastAsia="Noto Sans CJK KR" w:cs="Noto Sans CJK KR"/>
          <w:sz w:val="14"/>
        </w:rPr>
        <w:t>Swiss Financial Market Supervisory Authority. FINMA Report on Credit Suisse: Lessons Learned. (2023). https://www.finma.ch/en/news/2023/12/20231219-mm-cs-bericht/.</w:t>
      </w:r>
    </w:p>
    <w:p>
      <w:pPr>
        <w:pStyle w:val="aff4"/>
        <w:spacing w:after="20" w:line="240" w:lineRule="auto"/>
        <w:ind w:left="220" w:hanging="220"/>
      </w:pPr>
      <w:r>
        <w:rPr>
          <w:rFonts w:ascii="Noto Sans CJK KR" w:hAnsi="Noto Sans CJK KR" w:eastAsia="Noto Sans CJK KR" w:cs="Noto Sans CJK KR"/>
          <w:sz w:val="14"/>
        </w:rPr>
        <w:t>The National Archives. Companies and Businesses: Research Guide. (2026). https://www.nationalarchives.gov.uk/help-with-your-research/research-guides/companies-and-businesses/.</w:t>
      </w:r>
    </w:p>
    <w:p>
      <w:pPr>
        <w:pStyle w:val="aff4"/>
        <w:spacing w:after="20" w:line="240" w:lineRule="auto"/>
        <w:ind w:left="220" w:hanging="220"/>
      </w:pPr>
      <w:r>
        <w:rPr>
          <w:rFonts w:ascii="Noto Sans CJK KR" w:hAnsi="Noto Sans CJK KR" w:eastAsia="Noto Sans CJK KR" w:cs="Noto Sans CJK KR"/>
          <w:sz w:val="14"/>
        </w:rPr>
        <w:t>Third Lateran Council. Canon 25 on Usury. (1179). https://www.clerus.org/bibliaclerusonline/en/bsp.htm.</w:t>
      </w:r>
    </w:p>
    <w:p>
      <w:pPr>
        <w:pStyle w:val="aff4"/>
        <w:spacing w:after="20" w:line="240" w:lineRule="auto"/>
        <w:ind w:left="220" w:hanging="220"/>
      </w:pPr>
      <w:r>
        <w:rPr>
          <w:rFonts w:ascii="Noto Sans CJK KR" w:hAnsi="Noto Sans CJK KR" w:eastAsia="Noto Sans CJK KR" w:cs="Noto Sans CJK KR"/>
          <w:sz w:val="14"/>
        </w:rPr>
        <w:t>U.S. Securities and Exchange Commission. Securities Act of 1933. (1933). https://www.sec.gov/rules-regulations/statutes-regulations.</w:t>
      </w:r>
    </w:p>
    <w:p>
      <w:pPr>
        <w:pStyle w:val="aff4"/>
        <w:spacing w:after="20" w:line="240" w:lineRule="auto"/>
        <w:ind w:left="220" w:hanging="220"/>
      </w:pPr>
      <w:r>
        <w:rPr>
          <w:rFonts w:ascii="Noto Sans CJK KR" w:hAnsi="Noto Sans CJK KR" w:eastAsia="Noto Sans CJK KR" w:cs="Noto Sans CJK KR"/>
          <w:sz w:val="14"/>
        </w:rPr>
        <w:t>U.S. Securities and Exchange Commission. Securities Exchange Act of 1934. (1934). https://www.sec.gov/rules-regulations/statutes-regulations.</w:t>
      </w:r>
    </w:p>
    <w:p>
      <w:pPr>
        <w:pStyle w:val="aff4"/>
        <w:spacing w:after="20" w:line="240" w:lineRule="auto"/>
        <w:ind w:left="220" w:hanging="220"/>
      </w:pPr>
      <w:r>
        <w:rPr>
          <w:rFonts w:ascii="Noto Sans CJK KR" w:hAnsi="Noto Sans CJK KR" w:eastAsia="Noto Sans CJK KR" w:cs="Noto Sans CJK KR"/>
          <w:sz w:val="14"/>
        </w:rPr>
        <w:t>UK Parliament. Key Dates: Statute of Jewry 1275. (1275). https://www.parliament.uk/about/living-heritage/transformingsociety/private-lives/religion/key-dates1/key-dates/.</w:t>
      </w:r>
    </w:p>
    <w:p>
      <w:pPr>
        <w:pStyle w:val="aff4"/>
        <w:spacing w:after="20" w:line="240" w:lineRule="auto"/>
        <w:ind w:left="220" w:hanging="220"/>
      </w:pPr>
      <w:r>
        <w:rPr>
          <w:rFonts w:ascii="Noto Sans CJK KR" w:hAnsi="Noto Sans CJK KR" w:eastAsia="Noto Sans CJK KR" w:cs="Noto Sans CJK KR"/>
          <w:sz w:val="14"/>
        </w:rPr>
        <w:t>United States Congress. Federal Reserve Act, Public Law 63-43. (1913). https://www.govinfo.gov/app/details/COMPS-270.</w:t>
      </w:r>
    </w:p>
    <w:p>
      <w:pPr>
        <w:pStyle w:val="aff4"/>
        <w:spacing w:after="20" w:line="240" w:lineRule="auto"/>
        <w:ind w:left="220" w:hanging="220"/>
      </w:pPr>
      <w:r>
        <w:rPr>
          <w:rFonts w:ascii="Noto Sans CJK KR" w:hAnsi="Noto Sans CJK KR" w:eastAsia="Noto Sans CJK KR" w:cs="Noto Sans CJK KR"/>
          <w:sz w:val="14"/>
        </w:rPr>
        <w:t>United States Congress. Depository Institutions Deregulation and Monetary Control Act of 1980, Public Law 96-221. (1980). https://www.congress.gov/96/statute/STATUTE-94/STATUTE-94-Pg132.pdf.</w:t>
      </w:r>
    </w:p>
    <w:p>
      <w:pPr>
        <w:pStyle w:val="aff4"/>
        <w:spacing w:after="20" w:line="240" w:lineRule="auto"/>
        <w:ind w:left="220" w:hanging="220"/>
      </w:pPr>
      <w:r>
        <w:rPr>
          <w:rFonts w:ascii="Noto Sans CJK KR" w:hAnsi="Noto Sans CJK KR" w:eastAsia="Noto Sans CJK KR" w:cs="Noto Sans CJK KR"/>
          <w:sz w:val="14"/>
        </w:rPr>
        <w:t>United States Congress. Financial Institutions Reform, Recovery, and Enforcement Act of 1989, Public Law 101-73. (1989). https://www.govinfo.gov/app/details/STATUTE-103/STATUTE-103-Pg183.</w:t>
      </w:r>
    </w:p>
    <w:p>
      <w:pPr>
        <w:pStyle w:val="aff4"/>
        <w:spacing w:after="20" w:line="240" w:lineRule="auto"/>
        <w:ind w:left="220" w:hanging="220"/>
      </w:pPr>
      <w:r>
        <w:rPr>
          <w:rFonts w:ascii="Noto Sans CJK KR" w:hAnsi="Noto Sans CJK KR" w:eastAsia="Noto Sans CJK KR" w:cs="Noto Sans CJK KR"/>
          <w:sz w:val="14"/>
        </w:rPr>
        <w:t>United States Congress. Gramm-Leach-Bliley Act, Public Law 106-102. (1999). https://www.govinfo.gov/app/details/PLAW-106publ102.</w:t>
      </w:r>
    </w:p>
    <w:p>
      <w:pPr>
        <w:pStyle w:val="aff4"/>
        <w:spacing w:after="20" w:line="240" w:lineRule="auto"/>
        <w:ind w:left="220" w:hanging="220"/>
      </w:pPr>
      <w:r>
        <w:rPr>
          <w:rFonts w:ascii="Noto Sans CJK KR" w:hAnsi="Noto Sans CJK KR" w:eastAsia="Noto Sans CJK KR" w:cs="Noto Sans CJK KR"/>
          <w:sz w:val="14"/>
        </w:rPr>
        <w:t>United States Congress. Commodity Futures Modernization Act of 2000, Enacted in Public Law 106-554. (2000). https://www.govinfo.gov/app/details/PLAW-106publ554.</w:t>
      </w:r>
    </w:p>
    <w:p>
      <w:pPr>
        <w:pStyle w:val="aff4"/>
        <w:spacing w:after="20" w:line="240" w:lineRule="auto"/>
        <w:ind w:left="220" w:hanging="220"/>
      </w:pPr>
      <w:r>
        <w:rPr>
          <w:rFonts w:ascii="Noto Sans CJK KR" w:hAnsi="Noto Sans CJK KR" w:eastAsia="Noto Sans CJK KR" w:cs="Noto Sans CJK KR"/>
          <w:sz w:val="14"/>
        </w:rPr>
        <w:t>United States Congress. Credit Rating Agency Reform Act of 2006, Public Law 109-291. (2006). https://www.govinfo.gov/app/details/PLAW-109publ291.</w:t>
      </w:r>
    </w:p>
    <w:p>
      <w:pPr>
        <w:pStyle w:val="aff4"/>
        <w:spacing w:after="20" w:line="240" w:lineRule="auto"/>
        <w:ind w:left="220" w:hanging="220"/>
      </w:pPr>
      <w:r>
        <w:rPr>
          <w:rFonts w:ascii="Noto Sans CJK KR" w:hAnsi="Noto Sans CJK KR" w:eastAsia="Noto Sans CJK KR" w:cs="Noto Sans CJK KR"/>
          <w:sz w:val="14"/>
        </w:rPr>
        <w:t>United States Congress. Emergency Economic Stabilization Act of 2008, Public Law 110-343. (2008). https://www.govinfo.gov/app/details/PLAW-110publ343.</w:t>
      </w:r>
    </w:p>
    <w:p>
      <w:pPr>
        <w:pStyle w:val="aff4"/>
        <w:spacing w:after="20" w:line="240" w:lineRule="auto"/>
        <w:ind w:left="220" w:hanging="220"/>
      </w:pPr>
      <w:r>
        <w:rPr>
          <w:rFonts w:ascii="Noto Sans CJK KR" w:hAnsi="Noto Sans CJK KR" w:eastAsia="Noto Sans CJK KR" w:cs="Noto Sans CJK KR"/>
          <w:sz w:val="14"/>
        </w:rPr>
        <w:t>United States Congress. Dodd-Frank Wall Street Reform and Consumer Protection Act, Public Law 111-203. (2010). https://www.govinfo.gov/app/details/PLAW-111publ203.</w:t>
      </w:r>
    </w:p>
    <w:p>
      <w:pPr>
        <w:pStyle w:val="aff4"/>
        <w:spacing w:after="20" w:line="240" w:lineRule="auto"/>
        <w:ind w:left="220" w:hanging="220"/>
      </w:pPr>
      <w:r>
        <w:rPr>
          <w:rFonts w:ascii="Noto Sans CJK KR" w:hAnsi="Noto Sans CJK KR" w:eastAsia="Noto Sans CJK KR" w:cs="Noto Sans CJK KR"/>
          <w:sz w:val="14"/>
        </w:rPr>
        <w:t>United States Congress. Economic Growth, Regulatory Relief, and Consumer Protection Act, Public Law 115-174. (2018). https://www.govinfo.gov/app/details/PLAW-115publ174.</w:t>
      </w:r>
    </w:p>
    <w:p>
      <w:pPr>
        <w:pStyle w:val="aff4"/>
        <w:spacing w:after="20" w:line="240" w:lineRule="auto"/>
        <w:ind w:left="220" w:hanging="220"/>
      </w:pPr>
      <w:r>
        <w:rPr>
          <w:rFonts w:ascii="Noto Sans CJK KR" w:hAnsi="Noto Sans CJK KR" w:eastAsia="Noto Sans CJK KR" w:cs="Noto Sans CJK KR"/>
          <w:sz w:val="14"/>
        </w:rPr>
        <w:t>United States Constitutional Convention. Constitution of the United States: Article I. (1787). https://www.archives.gov/founding-docs/constitution-transcript.</w:t>
      </w:r>
    </w:p>
    <w:p>
      <w:pPr>
        <w:pStyle w:val="aff4"/>
        <w:spacing w:after="20" w:line="240" w:lineRule="auto"/>
        <w:ind w:left="220" w:hanging="220"/>
      </w:pPr>
      <w:r>
        <w:rPr>
          <w:rFonts w:ascii="Noto Sans CJK KR" w:hAnsi="Noto Sans CJK KR" w:eastAsia="Noto Sans CJK KR" w:cs="Noto Sans CJK KR"/>
          <w:sz w:val="14"/>
        </w:rPr>
        <w:t>United States Department of the Treasury. Treasury Announces TARP Capital Purchase Program Description. (2008). https://home.treasury.gov/news/press-releases/hp1207.</w:t>
      </w:r>
    </w:p>
    <w:p>
      <w:pPr>
        <w:pStyle w:val="aff4"/>
        <w:spacing w:after="20" w:line="240" w:lineRule="auto"/>
        <w:ind w:left="220" w:hanging="220"/>
      </w:pPr>
      <w:r>
        <w:rPr>
          <w:rFonts w:ascii="Noto Sans CJK KR" w:hAnsi="Noto Sans CJK KR" w:eastAsia="Noto Sans CJK KR" w:cs="Noto Sans CJK KR"/>
          <w:sz w:val="14"/>
        </w:rPr>
        <w:t>United States Department of the Treasury and Board of Governors of the Federal Reserve System and Federal Deposit Insurance Corporation. Joint Statement by Treasury, Federal Reserve, and FDIC. (2023). Federal Deposit Insurance Corporation. https://www.fdic.gov/news/press-releases/2023/pr23017.html.</w:t>
      </w:r>
    </w:p>
    <w:p>
      <w:pPr>
        <w:pStyle w:val="aff4"/>
        <w:spacing w:after="20" w:line="240" w:lineRule="auto"/>
        <w:ind w:left="220" w:hanging="220"/>
      </w:pPr>
      <w:r>
        <w:rPr>
          <w:rFonts w:ascii="Noto Sans CJK KR" w:hAnsi="Noto Sans CJK KR" w:eastAsia="Noto Sans CJK KR" w:cs="Noto Sans CJK KR"/>
          <w:sz w:val="14"/>
        </w:rPr>
        <w:t>United States Government Accountability Office. Dodd-Frank Regulations: Impacts on Community Banks, Credit Unions and Systemically Important Institutions. (2015). https://www.gao.gov/products/gao-16-169.</w:t>
      </w:r>
    </w:p>
    <w:p>
      <w:pPr>
        <w:pStyle w:val="aff4"/>
        <w:spacing w:after="20" w:line="240" w:lineRule="auto"/>
        <w:ind w:left="220" w:hanging="220"/>
      </w:pPr>
      <w:r>
        <w:rPr>
          <w:rFonts w:ascii="Noto Sans CJK KR" w:hAnsi="Noto Sans CJK KR" w:eastAsia="Noto Sans CJK KR" w:cs="Noto Sans CJK KR"/>
          <w:sz w:val="14"/>
        </w:rPr>
        <w:t>United States Government Accountability Office. Community Banks: Effect of Regulations on Small Business Lending and Institutions Appears Modest, but Lending Data Could Be Improved. (2018). https://www.gao.gov/products/gao-18-312.</w:t>
      </w:r>
    </w:p>
    <w:p>
      <w:pPr>
        <w:pStyle w:val="aff4"/>
        <w:spacing w:after="20" w:line="240" w:lineRule="auto"/>
        <w:ind w:left="220" w:hanging="220"/>
      </w:pPr>
      <w:r>
        <w:rPr>
          <w:rFonts w:ascii="Noto Sans CJK KR" w:hAnsi="Noto Sans CJK KR" w:eastAsia="Noto Sans CJK KR" w:cs="Noto Sans CJK KR"/>
          <w:sz w:val="14"/>
        </w:rPr>
        <w:t>United States Securities and Exchange Commission. Chairman Cox Announces End of Consolidated Supervised Entities Program. (2008). https://www.sec.gov/news/press/2008/2008-230.htm.</w:t>
      </w:r>
    </w:p>
    <w:p>
      <w:pPr>
        <w:pStyle w:val="aff4"/>
        <w:spacing w:after="20" w:line="240" w:lineRule="auto"/>
        <w:ind w:left="220" w:hanging="220"/>
      </w:pPr>
      <w:r>
        <w:rPr>
          <w:rFonts w:ascii="Noto Sans CJK KR" w:hAnsi="Noto Sans CJK KR" w:eastAsia="Noto Sans CJK KR" w:cs="Noto Sans CJK KR"/>
          <w:sz w:val="14"/>
        </w:rPr>
        <w:t>United States Senate Historical Office. Subcommittee on Senate Resolutions 84 and 234: The Pecora Investigation. (1934). https://www.senate.gov/about/powers-procedures/investigations/pecora.htm.</w:t>
      </w:r>
    </w:p>
    <w:p>
      <w:pPr>
        <w:pStyle w:val="aff4"/>
        <w:spacing w:after="20" w:line="240" w:lineRule="auto"/>
        <w:ind w:left="220" w:hanging="220"/>
      </w:pPr>
      <w:r>
        <w:rPr>
          <w:rFonts w:ascii="Noto Sans CJK KR" w:hAnsi="Noto Sans CJK KR" w:eastAsia="Noto Sans CJK KR" w:cs="Noto Sans CJK KR"/>
          <w:sz w:val="14"/>
        </w:rPr>
        <w:t>University of Oxford. The Great Recoinage of 1696. (2026). https://newtonandthemint.history.ox.ac.uk/great-recoinage/the-great-recoinage.</w:t>
      </w:r>
    </w:p>
    <w:p>
      <w:pPr>
        <w:pStyle w:val="aff4"/>
        <w:spacing w:after="20" w:line="240" w:lineRule="auto"/>
        <w:ind w:left="220" w:hanging="220"/>
      </w:pPr>
      <w:r>
        <w:rPr>
          <w:rFonts w:ascii="Noto Sans CJK KR" w:hAnsi="Noto Sans CJK KR" w:eastAsia="Noto Sans CJK KR" w:cs="Noto Sans CJK KR"/>
          <w:sz w:val="14"/>
        </w:rPr>
        <w:t>Walter Bagehot. Lombard Street: A Description of the Money Market. (1873). https://www.gutenberg.org/ebooks/4359.</w:t>
      </w:r>
    </w:p>
    <w:p>
      <w:pPr>
        <w:pStyle w:val="aff4"/>
        <w:spacing w:after="20" w:line="240" w:lineRule="auto"/>
        <w:ind w:left="220" w:hanging="220"/>
      </w:pPr>
      <w:r>
        <w:rPr>
          <w:rFonts w:ascii="Noto Sans CJK KR" w:hAnsi="Noto Sans CJK KR" w:eastAsia="Noto Sans CJK KR" w:cs="Noto Sans CJK KR"/>
          <w:sz w:val="14"/>
        </w:rPr>
        <w:t>Walter Benjamin. Kleine Geschichte der Photographie. (1931). https://www.imj.org.il/en/content/pictures-walter-benjamin%E2%80%99s-little-history-photography.</w:t>
      </w:r>
    </w:p>
    <w:p>
      <w:pPr>
        <w:pStyle w:val="aff4"/>
        <w:spacing w:after="20" w:line="240" w:lineRule="auto"/>
        <w:ind w:left="220" w:hanging="220"/>
      </w:pPr>
      <w:r>
        <w:rPr>
          <w:rFonts w:ascii="Noto Sans CJK KR" w:hAnsi="Noto Sans CJK KR" w:eastAsia="Noto Sans CJK KR" w:cs="Noto Sans CJK KR"/>
          <w:sz w:val="14"/>
        </w:rPr>
        <w:t>World Trade Organization. Financial Services: Background to the 1997 Agreement. (1997). https://www.wto.org/english/tratop_e/serv_e/finance_e/finance_fiback_e.htm.</w:t>
      </w:r>
    </w:p>
    <w:p>
      <w:pPr>
        <w:pStyle w:val="aff4"/>
        <w:spacing w:after="20" w:line="240" w:lineRule="auto"/>
        <w:ind w:left="220" w:hanging="220"/>
      </w:pPr>
      <w:r>
        <w:rPr>
          <w:rFonts w:ascii="Noto Sans CJK KR" w:hAnsi="Noto Sans CJK KR" w:eastAsia="Noto Sans CJK KR" w:cs="Noto Sans CJK KR"/>
          <w:sz w:val="14"/>
        </w:rPr>
        <w:t>국가기록원. 조선은행법(법률 제48호). (1911). 행정안전부 국가기록원. https://theme.archives.go.kr/next/government/viewGovernmentArchives.do?id=0001565043&amp;layerFlag=2&amp;page=5.</w:t>
      </w:r>
    </w:p>
    <w:p>
      <w:pPr>
        <w:pStyle w:val="aff4"/>
        <w:spacing w:after="20" w:line="240" w:lineRule="auto"/>
        <w:ind w:left="220" w:hanging="220"/>
      </w:pPr>
      <w:r>
        <w:rPr>
          <w:rFonts w:ascii="Noto Sans CJK KR" w:hAnsi="Noto Sans CJK KR" w:eastAsia="Noto Sans CJK KR" w:cs="Noto Sans CJK KR"/>
          <w:sz w:val="14"/>
        </w:rPr>
        <w:t>국가기록원. 조선 은행령과 1928년 개정. (1928). 행정안전부 국가기록원. https://theme.archives.go.kr/next/government/viewGovernmentArchives.do?id=0001565051&amp;layerFlag=2&amp;page=2&amp;pageFlag=.</w:t>
      </w:r>
    </w:p>
    <w:p>
      <w:pPr>
        <w:pStyle w:val="aff4"/>
        <w:spacing w:after="20" w:line="240" w:lineRule="auto"/>
        <w:ind w:left="220" w:hanging="220"/>
      </w:pPr>
      <w:r>
        <w:rPr>
          <w:rFonts w:ascii="Noto Sans CJK KR" w:hAnsi="Noto Sans CJK KR" w:eastAsia="Noto Sans CJK KR" w:cs="Noto Sans CJK KR"/>
          <w:sz w:val="14"/>
        </w:rPr>
        <w:t>국가기록원. 1972년 8·3 긴급금융조치와 특별금융조치. (1972). 행정안전부 국가기록원. https://theme.archives.go.kr/next/chronology/archiveDetail.do?evntId=0049318685&amp;flag=1&amp;page=42&amp;sort=.</w:t>
      </w:r>
    </w:p>
    <w:p>
      <w:pPr>
        <w:pStyle w:val="aff4"/>
        <w:spacing w:after="20" w:line="240" w:lineRule="auto"/>
        <w:ind w:left="220" w:hanging="220"/>
      </w:pPr>
      <w:r>
        <w:rPr>
          <w:rFonts w:ascii="Noto Sans CJK KR" w:hAnsi="Noto Sans CJK KR" w:eastAsia="Noto Sans CJK KR" w:cs="Noto Sans CJK KR"/>
          <w:sz w:val="14"/>
        </w:rPr>
        <w:t>국가기록원. 1993년 금융실명제 실시. (1993). 행정안전부 국가기록원. https://theme.archives.go.kr/next/chronology/archiveDetail.do?evntId=0050754025&amp;flag=1&amp;isPop=Y.</w:t>
      </w:r>
    </w:p>
    <w:p>
      <w:pPr>
        <w:pStyle w:val="aff4"/>
        <w:spacing w:after="20" w:line="240" w:lineRule="auto"/>
        <w:ind w:left="220" w:hanging="220"/>
      </w:pPr>
      <w:r>
        <w:rPr>
          <w:rFonts w:ascii="Noto Sans CJK KR" w:hAnsi="Noto Sans CJK KR" w:eastAsia="Noto Sans CJK KR" w:cs="Noto Sans CJK KR"/>
          <w:sz w:val="14"/>
        </w:rPr>
        <w:t>국가법령정보센터. 은행법 제정·개정이유(법률 제139호). (1950). 법제처. https://law.go.kr/LSW/lsRvsRsnListP.do?chrClsCd=010202&amp;lsId=001549&amp;lsRvsGubun=all.</w:t>
      </w:r>
    </w:p>
    <w:p>
      <w:pPr>
        <w:pStyle w:val="aff4"/>
        <w:spacing w:after="20" w:line="240" w:lineRule="auto"/>
        <w:ind w:left="220" w:hanging="220"/>
      </w:pPr>
      <w:r>
        <w:rPr>
          <w:rFonts w:ascii="Noto Sans CJK KR" w:hAnsi="Noto Sans CJK KR" w:eastAsia="Noto Sans CJK KR" w:cs="Noto Sans CJK KR"/>
          <w:sz w:val="14"/>
        </w:rPr>
        <w:t>국가법령정보센터. 긴급통화조치법(법률 제1088호). (1962). 법제처. https://www.law.go.kr/LSW/lsInfoP.do?lsiSeq=1618&amp;viewCls=lsRvsDocInfoR.</w:t>
      </w:r>
    </w:p>
    <w:p>
      <w:pPr>
        <w:pStyle w:val="aff4"/>
        <w:spacing w:after="20" w:line="240" w:lineRule="auto"/>
        <w:ind w:left="220" w:hanging="220"/>
      </w:pPr>
      <w:r>
        <w:rPr>
          <w:rFonts w:ascii="Noto Sans CJK KR" w:hAnsi="Noto Sans CJK KR" w:eastAsia="Noto Sans CJK KR" w:cs="Noto Sans CJK KR"/>
          <w:sz w:val="14"/>
        </w:rPr>
        <w:t>국가법령정보센터. 이자제한법 제정문(법률 제971호). (1962). 법제처. https://law.go.kr/LSW/lsRvsDocListP.do?chrClsCd=010202&amp;lsId=001250&amp;lsRvsGubun=all.</w:t>
      </w:r>
    </w:p>
    <w:p>
      <w:pPr>
        <w:pStyle w:val="aff4"/>
        <w:spacing w:after="20" w:line="240" w:lineRule="auto"/>
        <w:ind w:left="220" w:hanging="220"/>
      </w:pPr>
      <w:r>
        <w:rPr>
          <w:rFonts w:ascii="Noto Sans CJK KR" w:hAnsi="Noto Sans CJK KR" w:eastAsia="Noto Sans CJK KR" w:cs="Noto Sans CJK KR"/>
          <w:sz w:val="14"/>
        </w:rPr>
        <w:t>국가법령정보센터. 경제의 안정과 성장에 관한 긴급명령(대통령긴급명령 제15호). (1972). 법제처. https://www.law.go.kr/LSW/lsRvsRsnListP.do?chrClsCd=010202&amp;lsId=000731&amp;lsRvsGubun=all.</w:t>
      </w:r>
    </w:p>
    <w:p>
      <w:pPr>
        <w:pStyle w:val="aff4"/>
        <w:spacing w:after="20" w:line="240" w:lineRule="auto"/>
        <w:ind w:left="220" w:hanging="220"/>
      </w:pPr>
      <w:r>
        <w:rPr>
          <w:rFonts w:ascii="Noto Sans CJK KR" w:hAnsi="Noto Sans CJK KR" w:eastAsia="Noto Sans CJK KR" w:cs="Noto Sans CJK KR"/>
          <w:sz w:val="14"/>
        </w:rPr>
        <w:t>국가법령정보센터. 금융실명거래에 관한 법률(법률 제3607호). (1982). 법제처. https://www.law.go.kr/LSW/lsInfoP.do?chrClsCd=010202&amp;lsiSeq=1609&amp;urlMode=lsInfoP.</w:t>
      </w:r>
    </w:p>
    <w:p>
      <w:pPr>
        <w:pStyle w:val="aff4"/>
        <w:spacing w:after="20" w:line="240" w:lineRule="auto"/>
        <w:ind w:left="220" w:hanging="220"/>
      </w:pPr>
      <w:r>
        <w:rPr>
          <w:rFonts w:ascii="Noto Sans CJK KR" w:hAnsi="Noto Sans CJK KR" w:eastAsia="Noto Sans CJK KR" w:cs="Noto Sans CJK KR"/>
          <w:sz w:val="14"/>
        </w:rPr>
        <w:t>국가법령정보센터. 예금자보호법 제정·개정이유. (1995). 법제처. https://law.go.kr/LSW/lsRvsRsnListP.do?chrClsCd=010202&amp;lsId=001537&amp;lsRvsGubun=all.</w:t>
      </w:r>
    </w:p>
    <w:p>
      <w:pPr>
        <w:pStyle w:val="aff4"/>
        <w:spacing w:after="20" w:line="240" w:lineRule="auto"/>
        <w:ind w:left="220" w:hanging="220"/>
      </w:pPr>
      <w:r>
        <w:rPr>
          <w:rFonts w:ascii="Noto Sans CJK KR" w:hAnsi="Noto Sans CJK KR" w:eastAsia="Noto Sans CJK KR" w:cs="Noto Sans CJK KR"/>
          <w:sz w:val="14"/>
        </w:rPr>
        <w:t>국가법령정보센터. 금융감독기구의 설치 등에 관한 법률. (1997). 법제처. https://www.law.go.kr/LSW/lsInfoP.do?lsiSeq=53724.</w:t>
      </w:r>
    </w:p>
    <w:p>
      <w:pPr>
        <w:pStyle w:val="aff4"/>
        <w:spacing w:after="20" w:line="240" w:lineRule="auto"/>
        <w:ind w:left="220" w:hanging="220"/>
      </w:pPr>
      <w:r>
        <w:rPr>
          <w:rFonts w:ascii="Noto Sans CJK KR" w:hAnsi="Noto Sans CJK KR" w:eastAsia="Noto Sans CJK KR" w:cs="Noto Sans CJK KR"/>
          <w:sz w:val="14"/>
        </w:rPr>
        <w:t>국가법령정보센터. 금융지주회사법 제정이유(법률 제6274호). (2000). 법제처. https://www.law.go.kr/LSW/lsInfoP.do?ancYnChk=0&amp;lsId=009374.</w:t>
      </w:r>
    </w:p>
    <w:p>
      <w:pPr>
        <w:pStyle w:val="aff4"/>
        <w:spacing w:after="20" w:line="240" w:lineRule="auto"/>
        <w:ind w:left="220" w:hanging="220"/>
      </w:pPr>
      <w:r>
        <w:rPr>
          <w:rFonts w:ascii="Noto Sans CJK KR" w:hAnsi="Noto Sans CJK KR" w:eastAsia="Noto Sans CJK KR" w:cs="Noto Sans CJK KR"/>
          <w:sz w:val="14"/>
        </w:rPr>
        <w:t>국가법령정보센터. 전자금융거래법(법률 제7929호). (2006). 법제처. https://www.law.go.kr/LSW/lsSideInfoP.do?ancNo=07929&amp;ancYd=20060428&amp;chrClsCd=010202.</w:t>
      </w:r>
    </w:p>
    <w:p>
      <w:pPr>
        <w:pStyle w:val="aff4"/>
        <w:spacing w:after="20" w:line="240" w:lineRule="auto"/>
        <w:ind w:left="220" w:hanging="220"/>
      </w:pPr>
      <w:r>
        <w:rPr>
          <w:rFonts w:ascii="Noto Sans CJK KR" w:hAnsi="Noto Sans CJK KR" w:eastAsia="Noto Sans CJK KR" w:cs="Noto Sans CJK KR"/>
          <w:sz w:val="14"/>
        </w:rPr>
        <w:t>국가법령정보센터. 이자제한법 제정·개정이유. (2007). 법제처. https://www.law.go.kr/LSW/lsRvsRsnListP.do?chrClsCd=010202&amp;lsId=010404&amp;lsRvsGubun=all.</w:t>
      </w:r>
    </w:p>
    <w:p>
      <w:pPr>
        <w:pStyle w:val="aff4"/>
        <w:spacing w:after="20" w:line="240" w:lineRule="auto"/>
        <w:ind w:left="220" w:hanging="220"/>
      </w:pPr>
      <w:r>
        <w:rPr>
          <w:rFonts w:ascii="Noto Sans CJK KR" w:hAnsi="Noto Sans CJK KR" w:eastAsia="Noto Sans CJK KR" w:cs="Noto Sans CJK KR"/>
          <w:sz w:val="14"/>
        </w:rPr>
        <w:t>국가법령정보센터. 금융혁신지원 특별법. (2018). 법제처. https://www.law.go.kr/LSW/lsSideInfoP.do?chrClsCd=010202&amp;docCls=jo&amp;joNo=0002&amp;lsiSeq=206441&amp;urlMode=lsScJoRltInfoR.</w:t>
      </w:r>
    </w:p>
    <w:p>
      <w:pPr>
        <w:pStyle w:val="aff4"/>
        <w:spacing w:after="20" w:line="240" w:lineRule="auto"/>
        <w:ind w:left="220" w:hanging="220"/>
      </w:pPr>
      <w:r>
        <w:rPr>
          <w:rFonts w:ascii="Noto Sans CJK KR" w:hAnsi="Noto Sans CJK KR" w:eastAsia="Noto Sans CJK KR" w:cs="Noto Sans CJK KR"/>
          <w:sz w:val="14"/>
        </w:rPr>
        <w:t>국가법령정보센터. 인터넷전문은행 설립 및 운영에 관한 특례법. (2018). 법제처. https://www.law.go.kr/LSW/lsRvsRsnListP.do?chrClsCd=010202&amp;lsId=013180&amp;lsRvsGubun=all.</w:t>
      </w:r>
    </w:p>
    <w:p>
      <w:pPr>
        <w:pStyle w:val="aff4"/>
        <w:spacing w:after="20" w:line="240" w:lineRule="auto"/>
        <w:ind w:left="220" w:hanging="220"/>
      </w:pPr>
      <w:r>
        <w:rPr>
          <w:rFonts w:ascii="Noto Sans CJK KR" w:hAnsi="Noto Sans CJK KR" w:eastAsia="Noto Sans CJK KR" w:cs="Noto Sans CJK KR"/>
          <w:sz w:val="14"/>
        </w:rPr>
        <w:t>국가법령정보센터. 금융소비자 보호에 관한 법률. (2020). 법제처. https://law.go.kr/LSW/lsInfoP.do?lsiSeq=215931&amp;viewCls=lsRvsDocInfoR.</w:t>
      </w:r>
    </w:p>
    <w:p>
      <w:pPr>
        <w:pStyle w:val="aff4"/>
        <w:spacing w:after="20" w:line="240" w:lineRule="auto"/>
        <w:ind w:left="220" w:hanging="220"/>
      </w:pPr>
      <w:r>
        <w:rPr>
          <w:rFonts w:ascii="Noto Sans CJK KR" w:hAnsi="Noto Sans CJK KR" w:eastAsia="Noto Sans CJK KR" w:cs="Noto Sans CJK KR"/>
          <w:sz w:val="14"/>
        </w:rPr>
        <w:t>국가법령정보센터. 특정 금융거래정보의 보고 및 이용 등에 관한 법률: 가상자산사업자 규율. (2020). 법제처. https://www.law.go.kr/LSW/lsRvsDocListP.do?chrClsCd=010102&amp;lsId=009244.</w:t>
      </w:r>
    </w:p>
    <w:p>
      <w:pPr>
        <w:pStyle w:val="aff4"/>
        <w:spacing w:after="20" w:line="240" w:lineRule="auto"/>
        <w:ind w:left="220" w:hanging="220"/>
      </w:pPr>
      <w:r>
        <w:rPr>
          <w:rFonts w:ascii="Noto Sans CJK KR" w:hAnsi="Noto Sans CJK KR" w:eastAsia="Noto Sans CJK KR" w:cs="Noto Sans CJK KR"/>
          <w:sz w:val="14"/>
        </w:rPr>
        <w:t>국가법령정보센터. 신용정보의 이용 및 보호에 관한 법률: 자동화평가에 대한 권리. (2021). 법제처. https://www.law.go.kr/LSW/lsInfoP.do?efYd=20211230&amp;joNo=003800&amp;lsiSeq=225061&amp;urlMode=lsInfoP.</w:t>
      </w:r>
    </w:p>
    <w:p>
      <w:pPr>
        <w:pStyle w:val="aff4"/>
        <w:spacing w:after="20" w:line="240" w:lineRule="auto"/>
        <w:ind w:left="220" w:hanging="220"/>
      </w:pPr>
      <w:r>
        <w:rPr>
          <w:rFonts w:ascii="Noto Sans CJK KR" w:hAnsi="Noto Sans CJK KR" w:eastAsia="Noto Sans CJK KR" w:cs="Noto Sans CJK KR"/>
          <w:sz w:val="14"/>
        </w:rPr>
        <w:t>국가법령정보센터. 대부업 등의 등록 및 금융이용자 보호에 관한 법률 시행령: 최고금리 20퍼센트. (2021). 법제처. https://law.go.kr/LSW/lsRvsDocListP.do?chrClsCd=010202&amp;lsId=010468&amp;lsRvsGubun=all.</w:t>
      </w:r>
    </w:p>
    <w:p>
      <w:pPr>
        <w:pStyle w:val="aff4"/>
        <w:spacing w:after="20" w:line="240" w:lineRule="auto"/>
        <w:ind w:left="220" w:hanging="220"/>
      </w:pPr>
      <w:r>
        <w:rPr>
          <w:rFonts w:ascii="Noto Sans CJK KR" w:hAnsi="Noto Sans CJK KR" w:eastAsia="Noto Sans CJK KR" w:cs="Noto Sans CJK KR"/>
          <w:sz w:val="14"/>
        </w:rPr>
        <w:t>국가법령정보센터. 가상자산 이용자 보호 등에 관한 법률. (2023). 법제처. https://law.go.kr/LSW/lsRvsRsnListP.do?chrClsCd=010202&amp;lsId=014474&amp;lsRvsGubun=all.</w:t>
      </w:r>
    </w:p>
    <w:p>
      <w:pPr>
        <w:pStyle w:val="aff4"/>
        <w:spacing w:after="20" w:line="240" w:lineRule="auto"/>
        <w:ind w:left="220" w:hanging="220"/>
      </w:pPr>
      <w:r>
        <w:rPr>
          <w:rFonts w:ascii="Noto Sans CJK KR" w:hAnsi="Noto Sans CJK KR" w:eastAsia="Noto Sans CJK KR" w:cs="Noto Sans CJK KR"/>
          <w:sz w:val="14"/>
        </w:rPr>
        <w:t>국가법령정보센터. 재정경제부 직제(대통령령 제35947호): 직무와 2026년 1월 2일 시행. (2025). 법제처. https://www.law.go.kr/LSW/lsInfoP.do?lsiSeq=280775.</w:t>
      </w:r>
    </w:p>
    <w:p>
      <w:pPr>
        <w:pStyle w:val="aff4"/>
        <w:spacing w:after="20" w:line="240" w:lineRule="auto"/>
        <w:ind w:left="220" w:hanging="220"/>
      </w:pPr>
      <w:r>
        <w:rPr>
          <w:rFonts w:ascii="Noto Sans CJK KR" w:hAnsi="Noto Sans CJK KR" w:eastAsia="Noto Sans CJK KR" w:cs="Noto Sans CJK KR"/>
          <w:sz w:val="14"/>
        </w:rPr>
        <w:t>국가법령정보센터. 개인정보 보호법 제37조의2: 자동화된 결정에 대한 정보주체의 권리. (2025). 법제처. https://www.law.go.kr/LSW/lsLinkCommonInfo.do?lsJoLnkSeq=1029334889.</w:t>
      </w:r>
    </w:p>
    <w:p>
      <w:pPr>
        <w:pStyle w:val="aff4"/>
        <w:spacing w:after="20" w:line="240" w:lineRule="auto"/>
        <w:ind w:left="220" w:hanging="220"/>
      </w:pPr>
      <w:r>
        <w:rPr>
          <w:rFonts w:ascii="Noto Sans CJK KR" w:hAnsi="Noto Sans CJK KR" w:eastAsia="Noto Sans CJK KR" w:cs="Noto Sans CJK KR"/>
          <w:sz w:val="14"/>
        </w:rPr>
        <w:t>국가법령정보센터. 금융위원회의 설치 등에 관한 법률, 2026년 1월 2일 시행본. (2026). 법제처. https://www.law.go.kr/법령/금융위원회의설치등에관한법률.</w:t>
      </w:r>
    </w:p>
    <w:p>
      <w:pPr>
        <w:pStyle w:val="aff4"/>
        <w:spacing w:after="20" w:line="240" w:lineRule="auto"/>
        <w:ind w:left="220" w:hanging="220"/>
      </w:pPr>
      <w:r>
        <w:rPr>
          <w:rFonts w:ascii="Noto Sans CJK KR" w:hAnsi="Noto Sans CJK KR" w:eastAsia="Noto Sans CJK KR" w:cs="Noto Sans CJK KR"/>
          <w:sz w:val="14"/>
        </w:rPr>
        <w:t>국가법령정보센터. 금융위원회와 그 소속기관 직제, 2026년 3월 31일 시행본. (2026). 법제처. https://www.law.go.kr/LSW/lsInfoP.do?lsiSeq=285213.</w:t>
      </w:r>
    </w:p>
    <w:p>
      <w:pPr>
        <w:pStyle w:val="aff4"/>
        <w:spacing w:after="20" w:line="240" w:lineRule="auto"/>
        <w:ind w:left="220" w:hanging="220"/>
      </w:pPr>
      <w:r>
        <w:rPr>
          <w:rFonts w:ascii="Noto Sans CJK KR" w:hAnsi="Noto Sans CJK KR" w:eastAsia="Noto Sans CJK KR" w:cs="Noto Sans CJK KR"/>
          <w:sz w:val="14"/>
        </w:rPr>
        <w:t>국가법령정보센터. 전자금융감독규정. (2026). 법제처. https://law.go.kr/LSW/admRulStmdInfoP.do?admRulSeq=2000000095162.</w:t>
      </w:r>
    </w:p>
    <w:p>
      <w:pPr>
        <w:pStyle w:val="aff4"/>
        <w:spacing w:after="20" w:line="240" w:lineRule="auto"/>
        <w:ind w:left="220" w:hanging="220"/>
      </w:pPr>
      <w:r>
        <w:rPr>
          <w:rFonts w:ascii="Noto Sans CJK KR" w:hAnsi="Noto Sans CJK KR" w:eastAsia="Noto Sans CJK KR" w:cs="Noto Sans CJK KR"/>
          <w:sz w:val="14"/>
        </w:rPr>
        <w:t>국가법령정보센터. 인공지능 발전과 신뢰 기반 조성 등에 관한 기본법. (2026). 법제처. https://www.law.go.kr/lsInfoP.do?lsId=014820.</w:t>
      </w:r>
    </w:p>
    <w:p>
      <w:pPr>
        <w:pStyle w:val="aff4"/>
        <w:spacing w:after="20" w:line="240" w:lineRule="auto"/>
        <w:ind w:left="220" w:hanging="220"/>
      </w:pPr>
      <w:r>
        <w:rPr>
          <w:rFonts w:ascii="Noto Sans CJK KR" w:hAnsi="Noto Sans CJK KR" w:eastAsia="Noto Sans CJK KR" w:cs="Noto Sans CJK KR"/>
          <w:sz w:val="14"/>
        </w:rPr>
        <w:t>국사편찬위원회. 중종실록 1517년 12월 17일 기사: 일본일리 원칙. (1517). 국사편찬위원회 조선왕조실록. https://sillok.history.go.kr/id/kka_11212017_002.</w:t>
      </w:r>
    </w:p>
    <w:p>
      <w:pPr>
        <w:pStyle w:val="aff4"/>
        <w:spacing w:after="20" w:line="240" w:lineRule="auto"/>
        <w:ind w:left="220" w:hanging="220"/>
      </w:pPr>
      <w:r>
        <w:rPr>
          <w:rFonts w:ascii="Noto Sans CJK KR" w:hAnsi="Noto Sans CJK KR" w:eastAsia="Noto Sans CJK KR" w:cs="Noto Sans CJK KR"/>
          <w:sz w:val="14"/>
        </w:rPr>
        <w:t>국사편찬위원회. 1905년 화폐정리사업. (2026). 국사편찬위원회 우리역사넷. https://contents.history.go.kr/front/hm/view.do?levelId=hm_131_0020.</w:t>
      </w:r>
    </w:p>
    <w:p>
      <w:pPr>
        <w:pStyle w:val="aff4"/>
        <w:spacing w:after="20" w:line="240" w:lineRule="auto"/>
        <w:ind w:left="220" w:hanging="220"/>
      </w:pPr>
      <w:r>
        <w:rPr>
          <w:rFonts w:ascii="Noto Sans CJK KR" w:hAnsi="Noto Sans CJK KR" w:eastAsia="Noto Sans CJK KR" w:cs="Noto Sans CJK KR"/>
          <w:sz w:val="14"/>
        </w:rPr>
        <w:t>국사편찬위원회. 환곡의 이자와 운영 원리. (2026). 국사편찬위원회 우리역사넷. https://contents.history.go.kr/front/tg/view.do?levelId=tg_003_2250&amp;treeId=0100.</w:t>
      </w:r>
    </w:p>
    <w:p>
      <w:pPr>
        <w:pStyle w:val="aff4"/>
        <w:spacing w:after="20" w:line="240" w:lineRule="auto"/>
        <w:ind w:left="220" w:hanging="220"/>
      </w:pPr>
      <w:r>
        <w:rPr>
          <w:rFonts w:ascii="Noto Sans CJK KR" w:hAnsi="Noto Sans CJK KR" w:eastAsia="Noto Sans CJK KR" w:cs="Noto Sans CJK KR"/>
          <w:sz w:val="14"/>
        </w:rPr>
        <w:t>국사편찬위원회. 조선 후기 환곡 운영과 개혁론. (2026). 국사편찬위원회 우리역사넷. https://contents.history.go.kr/front/nh/view.do?levelId=nh_032_0050_0020.</w:t>
      </w:r>
    </w:p>
    <w:p>
      <w:pPr>
        <w:pStyle w:val="aff4"/>
        <w:spacing w:after="20" w:line="240" w:lineRule="auto"/>
        <w:ind w:left="220" w:hanging="220"/>
      </w:pPr>
      <w:r>
        <w:rPr>
          <w:rFonts w:ascii="Noto Sans CJK KR" w:hAnsi="Noto Sans CJK KR" w:eastAsia="Noto Sans CJK KR" w:cs="Noto Sans CJK KR"/>
          <w:sz w:val="14"/>
        </w:rPr>
        <w:t>국사편찬위원회. 개항기 전당포와 고리대금업. (2026). 국사편찬위원회 우리역사넷. https://contents.history.go.kr/mobile/km/view.do?levelId=km_031_0030_0050.</w:t>
      </w:r>
    </w:p>
    <w:p>
      <w:pPr>
        <w:pStyle w:val="aff4"/>
        <w:spacing w:after="20" w:line="240" w:lineRule="auto"/>
        <w:ind w:left="220" w:hanging="220"/>
      </w:pPr>
      <w:r>
        <w:rPr>
          <w:rFonts w:ascii="Noto Sans CJK KR" w:hAnsi="Noto Sans CJK KR" w:eastAsia="Noto Sans CJK KR" w:cs="Noto Sans CJK KR"/>
          <w:sz w:val="14"/>
        </w:rPr>
        <w:t>금융위원회. 예금보험금 지급 현황. (1999). https://fsc.go.kr/no010101/63372.</w:t>
      </w:r>
    </w:p>
    <w:p>
      <w:pPr>
        <w:pStyle w:val="aff4"/>
        <w:spacing w:after="20" w:line="240" w:lineRule="auto"/>
        <w:ind w:left="220" w:hanging="220"/>
      </w:pPr>
      <w:r>
        <w:rPr>
          <w:rFonts w:ascii="Noto Sans CJK KR" w:hAnsi="Noto Sans CJK KR" w:eastAsia="Noto Sans CJK KR" w:cs="Noto Sans CJK KR"/>
          <w:sz w:val="14"/>
        </w:rPr>
        <w:t>금융위원회. 여신전문금융회사 레버리지 규제와 2003년 카드사태의 교훈. (2011). https://www.fsc.go.kr/no010103/24412.</w:t>
      </w:r>
    </w:p>
    <w:p>
      <w:pPr>
        <w:pStyle w:val="aff4"/>
        <w:spacing w:after="20" w:line="240" w:lineRule="auto"/>
        <w:ind w:left="220" w:hanging="220"/>
      </w:pPr>
      <w:r>
        <w:rPr>
          <w:rFonts w:ascii="Noto Sans CJK KR" w:hAnsi="Noto Sans CJK KR" w:eastAsia="Noto Sans CJK KR" w:cs="Noto Sans CJK KR"/>
          <w:sz w:val="14"/>
        </w:rPr>
        <w:t>금융위원회. 인터넷전문은행 예비인가 심사 결과. (2015). https://www.fsc.go.kr/no010101/71836.</w:t>
      </w:r>
    </w:p>
    <w:p>
      <w:pPr>
        <w:pStyle w:val="aff4"/>
        <w:spacing w:after="20" w:line="240" w:lineRule="auto"/>
        <w:ind w:left="220" w:hanging="220"/>
      </w:pPr>
      <w:r>
        <w:rPr>
          <w:rFonts w:ascii="Noto Sans CJK KR" w:hAnsi="Noto Sans CJK KR" w:eastAsia="Noto Sans CJK KR" w:cs="Noto Sans CJK KR"/>
          <w:sz w:val="14"/>
        </w:rPr>
        <w:t>금융위원회. 총부채원리금상환비율(DSR) 도입과 여신심사 가이드라인. (2018). https://www.fsc.go.kr/no010101/73338.</w:t>
      </w:r>
    </w:p>
    <w:p>
      <w:pPr>
        <w:pStyle w:val="aff4"/>
        <w:spacing w:after="20" w:line="240" w:lineRule="auto"/>
        <w:ind w:left="220" w:hanging="220"/>
      </w:pPr>
      <w:r>
        <w:rPr>
          <w:rFonts w:ascii="Noto Sans CJK KR" w:hAnsi="Noto Sans CJK KR" w:eastAsia="Noto Sans CJK KR" w:cs="Noto Sans CJK KR"/>
          <w:sz w:val="14"/>
        </w:rPr>
        <w:t>금융위원회. 은행과 핀테크 기업 모두가 참여하는 오픈뱅킹 서비스 전면 시행. (2019). https://www.fsc.go.kr/no010101/74040.</w:t>
      </w:r>
    </w:p>
    <w:p>
      <w:pPr>
        <w:pStyle w:val="aff4"/>
        <w:spacing w:after="20" w:line="240" w:lineRule="auto"/>
        <w:ind w:left="220" w:hanging="220"/>
      </w:pPr>
      <w:r>
        <w:rPr>
          <w:rFonts w:ascii="Noto Sans CJK KR" w:hAnsi="Noto Sans CJK KR" w:eastAsia="Noto Sans CJK KR" w:cs="Noto Sans CJK KR"/>
          <w:sz w:val="14"/>
        </w:rPr>
        <w:t>금융위원회. 오픈뱅킹 추진 현황 및 향후 계획. (2019). https://www.fsc.go.kr/no010101/73941.</w:t>
      </w:r>
    </w:p>
    <w:p>
      <w:pPr>
        <w:pStyle w:val="aff4"/>
        <w:spacing w:after="20" w:line="240" w:lineRule="auto"/>
        <w:ind w:left="220" w:hanging="220"/>
      </w:pPr>
      <w:r>
        <w:rPr>
          <w:rFonts w:ascii="Noto Sans CJK KR" w:hAnsi="Noto Sans CJK KR" w:eastAsia="Noto Sans CJK KR" w:cs="Noto Sans CJK KR"/>
          <w:sz w:val="14"/>
        </w:rPr>
        <w:t>금융위원회. 데이터 3법 및 개정 신용정보법 시행. (2020). https://www.fsc.go.kr/no010101/74469.</w:t>
      </w:r>
    </w:p>
    <w:p>
      <w:pPr>
        <w:pStyle w:val="aff4"/>
        <w:spacing w:after="20" w:line="240" w:lineRule="auto"/>
        <w:ind w:left="220" w:hanging="220"/>
      </w:pPr>
      <w:r>
        <w:rPr>
          <w:rFonts w:ascii="Noto Sans CJK KR" w:hAnsi="Noto Sans CJK KR" w:eastAsia="Noto Sans CJK KR" w:cs="Noto Sans CJK KR"/>
          <w:sz w:val="14"/>
        </w:rPr>
        <w:t>금융위원회. 금융분야 인공지능(AI) 가이드라인. (2021). https://www.fsc.go.kr/no010101/76206.</w:t>
      </w:r>
    </w:p>
    <w:p>
      <w:pPr>
        <w:pStyle w:val="aff4"/>
        <w:spacing w:after="20" w:line="240" w:lineRule="auto"/>
        <w:ind w:left="220" w:hanging="220"/>
      </w:pPr>
      <w:r>
        <w:rPr>
          <w:rFonts w:ascii="Noto Sans CJK KR" w:hAnsi="Noto Sans CJK KR" w:eastAsia="Noto Sans CJK KR" w:cs="Noto Sans CJK KR"/>
          <w:sz w:val="14"/>
        </w:rPr>
        <w:t>금융위원회. 금융소비자보호법 시행 안내. (2021). https://www.fsc.go.kr/po010105/75573.</w:t>
      </w:r>
    </w:p>
    <w:p>
      <w:pPr>
        <w:pStyle w:val="aff4"/>
        <w:spacing w:after="20" w:line="240" w:lineRule="auto"/>
        <w:ind w:left="220" w:hanging="220"/>
      </w:pPr>
      <w:r>
        <w:rPr>
          <w:rFonts w:ascii="Noto Sans CJK KR" w:hAnsi="Noto Sans CJK KR" w:eastAsia="Noto Sans CJK KR" w:cs="Noto Sans CJK KR"/>
          <w:sz w:val="14"/>
        </w:rPr>
        <w:t>금융위원회. 인터넷전문은행 도입 경과와 중·저신용자 대출 확대계획. (2021). https://www.fsc.go.kr/no010101/75987.</w:t>
      </w:r>
    </w:p>
    <w:p>
      <w:pPr>
        <w:pStyle w:val="aff4"/>
        <w:spacing w:after="20" w:line="240" w:lineRule="auto"/>
        <w:ind w:left="220" w:hanging="220"/>
      </w:pPr>
      <w:r>
        <w:rPr>
          <w:rFonts w:ascii="Noto Sans CJK KR" w:hAnsi="Noto Sans CJK KR" w:eastAsia="Noto Sans CJK KR" w:cs="Noto Sans CJK KR"/>
          <w:sz w:val="14"/>
        </w:rPr>
        <w:t>금융위원회. 가상자산사업자 신고 및 자금세탁방지 제도 시행 안내. (2021). https://www.fsc.go.kr/no010101/75409.</w:t>
      </w:r>
    </w:p>
    <w:p>
      <w:pPr>
        <w:pStyle w:val="aff4"/>
        <w:spacing w:after="20" w:line="240" w:lineRule="auto"/>
        <w:ind w:left="220" w:hanging="220"/>
      </w:pPr>
      <w:r>
        <w:rPr>
          <w:rFonts w:ascii="Noto Sans CJK KR" w:hAnsi="Noto Sans CJK KR" w:eastAsia="Noto Sans CJK KR" w:cs="Noto Sans CJK KR"/>
          <w:sz w:val="14"/>
        </w:rPr>
        <w:t>금융위원회. 예금보호제도의 변천과 1997년 한시 전액보호. (2024). https://www.fsc.go.kr/po010105/84579.</w:t>
      </w:r>
    </w:p>
    <w:p>
      <w:pPr>
        <w:pStyle w:val="aff4"/>
        <w:spacing w:after="20" w:line="240" w:lineRule="auto"/>
        <w:ind w:left="220" w:hanging="220"/>
      </w:pPr>
      <w:r>
        <w:rPr>
          <w:rFonts w:ascii="Noto Sans CJK KR" w:hAnsi="Noto Sans CJK KR" w:eastAsia="Noto Sans CJK KR" w:cs="Noto Sans CJK KR"/>
          <w:sz w:val="14"/>
        </w:rPr>
        <w:t>금융위원회. 금융분야 망분리 개선 로드맵. (2024). https://www.fsc.go.kr/no010101/82885.</w:t>
      </w:r>
    </w:p>
    <w:p>
      <w:pPr>
        <w:pStyle w:val="aff4"/>
        <w:spacing w:after="20" w:line="240" w:lineRule="auto"/>
        <w:ind w:left="220" w:hanging="220"/>
      </w:pPr>
      <w:r>
        <w:rPr>
          <w:rFonts w:ascii="Noto Sans CJK KR" w:hAnsi="Noto Sans CJK KR" w:eastAsia="Noto Sans CJK KR" w:cs="Noto Sans CJK KR"/>
          <w:sz w:val="14"/>
        </w:rPr>
        <w:t>금융위원회. 가상자산이용자보호법 시행 안내. (2024). https://www.fsc.go.kr/no010101/82682.</w:t>
      </w:r>
    </w:p>
    <w:p>
      <w:pPr>
        <w:pStyle w:val="aff4"/>
        <w:spacing w:after="20" w:line="240" w:lineRule="auto"/>
        <w:ind w:left="220" w:hanging="220"/>
      </w:pPr>
      <w:r>
        <w:rPr>
          <w:rFonts w:ascii="Noto Sans CJK KR" w:hAnsi="Noto Sans CJK KR" w:eastAsia="Noto Sans CJK KR" w:cs="Noto Sans CJK KR"/>
          <w:sz w:val="14"/>
        </w:rPr>
        <w:t>금융위원회. 예금보호한도 1억원 상향 시행 안내. (2025). https://www.fsc.go.kr/no010101/85200.</w:t>
      </w:r>
    </w:p>
    <w:p>
      <w:pPr>
        <w:pStyle w:val="aff4"/>
        <w:spacing w:after="20" w:line="240" w:lineRule="auto"/>
        <w:ind w:left="220" w:hanging="220"/>
      </w:pPr>
      <w:r>
        <w:rPr>
          <w:rFonts w:ascii="Noto Sans CJK KR" w:hAnsi="Noto Sans CJK KR" w:eastAsia="Noto Sans CJK KR" w:cs="Noto Sans CJK KR"/>
          <w:sz w:val="14"/>
        </w:rPr>
        <w:t>금융위원회. 금융위원회 소개: 설립과 기능. (2026). https://www.fsc.go.kr/fsc010101.</w:t>
      </w:r>
    </w:p>
    <w:p>
      <w:pPr>
        <w:pStyle w:val="aff4"/>
        <w:spacing w:after="20" w:line="240" w:lineRule="auto"/>
        <w:ind w:left="220" w:hanging="220"/>
      </w:pPr>
      <w:r>
        <w:rPr>
          <w:rFonts w:ascii="Noto Sans CJK KR" w:hAnsi="Noto Sans CJK KR" w:eastAsia="Noto Sans CJK KR" w:cs="Noto Sans CJK KR"/>
          <w:sz w:val="14"/>
        </w:rPr>
        <w:t>금융위원회. 예금보험기금 저축은행 특별계정 부채처리 방안. (2026). https://www.fsc.go.kr/no010101/86263.</w:t>
      </w:r>
    </w:p>
    <w:p>
      <w:pPr>
        <w:pStyle w:val="aff4"/>
        <w:spacing w:after="20" w:line="240" w:lineRule="auto"/>
        <w:ind w:left="220" w:hanging="220"/>
      </w:pPr>
      <w:r>
        <w:rPr>
          <w:rFonts w:ascii="Noto Sans CJK KR" w:hAnsi="Noto Sans CJK KR" w:eastAsia="Noto Sans CJK KR" w:cs="Noto Sans CJK KR"/>
          <w:sz w:val="14"/>
        </w:rPr>
        <w:t>금융위원회. 스테이블코인 발행주체 등 2단계법 주요내용은 확정된 바 없습니다. (2026). https://www.fsc.go.kr/no010102/85997.</w:t>
      </w:r>
    </w:p>
    <w:p>
      <w:pPr>
        <w:pStyle w:val="aff4"/>
        <w:spacing w:after="20" w:line="240" w:lineRule="auto"/>
        <w:ind w:left="220" w:hanging="220"/>
      </w:pPr>
      <w:r>
        <w:rPr>
          <w:rFonts w:ascii="Noto Sans CJK KR" w:hAnsi="Noto Sans CJK KR" w:eastAsia="Noto Sans CJK KR" w:cs="Noto Sans CJK KR"/>
          <w:sz w:val="14"/>
        </w:rPr>
        <w:t>금융위원회. 스테이블코인 발행인의 주주구성 등 2단계법 주요내용은 확정된 바 없습니다. (2026). https://www.fsc.go.kr/no010102/85999.</w:t>
      </w:r>
    </w:p>
    <w:p>
      <w:pPr>
        <w:pStyle w:val="aff4"/>
        <w:spacing w:after="20" w:line="240" w:lineRule="auto"/>
        <w:ind w:left="220" w:hanging="220"/>
      </w:pPr>
      <w:r>
        <w:rPr>
          <w:rFonts w:ascii="Noto Sans CJK KR" w:hAnsi="Noto Sans CJK KR" w:eastAsia="Noto Sans CJK KR" w:cs="Noto Sans CJK KR"/>
          <w:sz w:val="14"/>
        </w:rPr>
        <w:t>금융위원회. 2026년 제1차 가상자산위원회 개최. (2026). https://www.fsc.go.kr/no010101/86373.</w:t>
      </w:r>
    </w:p>
    <w:p>
      <w:pPr>
        <w:pStyle w:val="aff4"/>
        <w:spacing w:after="20" w:line="240" w:lineRule="auto"/>
        <w:ind w:left="220" w:hanging="220"/>
      </w:pPr>
      <w:r>
        <w:rPr>
          <w:rFonts w:ascii="Noto Sans CJK KR" w:hAnsi="Noto Sans CJK KR" w:eastAsia="Noto Sans CJK KR" w:cs="Noto Sans CJK KR"/>
          <w:sz w:val="14"/>
        </w:rPr>
        <w:t>금융위원회. 가상자산시장 조사규정 개정. (2026). https://www.fsc.go.kr/po040200/86711.</w:t>
      </w:r>
    </w:p>
    <w:p>
      <w:pPr>
        <w:pStyle w:val="aff4"/>
        <w:spacing w:after="20" w:line="240" w:lineRule="auto"/>
        <w:ind w:left="220" w:hanging="220"/>
      </w:pPr>
      <w:r>
        <w:rPr>
          <w:rFonts w:ascii="Noto Sans CJK KR" w:hAnsi="Noto Sans CJK KR" w:eastAsia="Noto Sans CJK KR" w:cs="Noto Sans CJK KR"/>
          <w:sz w:val="14"/>
        </w:rPr>
        <w:t>금융정보분석원. 고객확인제도의 개념과 위험기반 접근. (2026). 금융위원회 금융정보분석원. https://www.kofiu.go.kr/kor/policy/amls05.do.</w:t>
      </w:r>
    </w:p>
    <w:p>
      <w:pPr>
        <w:pStyle w:val="aff4"/>
        <w:spacing w:after="20" w:line="240" w:lineRule="auto"/>
        <w:ind w:left="220" w:hanging="220"/>
      </w:pPr>
      <w:r>
        <w:rPr>
          <w:rFonts w:ascii="Noto Sans CJK KR" w:hAnsi="Noto Sans CJK KR" w:eastAsia="Noto Sans CJK KR" w:cs="Noto Sans CJK KR"/>
          <w:sz w:val="14"/>
        </w:rPr>
        <w:t>금융정보분석원. 금융정보분석원이 하는 일. (2026). 금융위원회 금융정보분석원. https://kofiu.go.kr/kor/policy/guide03.do.</w:t>
      </w:r>
    </w:p>
    <w:p>
      <w:pPr>
        <w:pStyle w:val="aff4"/>
        <w:spacing w:after="20" w:line="240" w:lineRule="auto"/>
        <w:ind w:left="220" w:hanging="220"/>
      </w:pPr>
      <w:r>
        <w:rPr>
          <w:rFonts w:ascii="Noto Sans CJK KR" w:hAnsi="Noto Sans CJK KR" w:eastAsia="Noto Sans CJK KR" w:cs="Noto Sans CJK KR"/>
          <w:sz w:val="14"/>
        </w:rPr>
        <w:t>김민수 and 최원용. 거시건전성 정책이 우리나라 가구의 부채 및 자산 불평등에 미친 영향. (2023). 한국은행. https://www.bok.or.kr/portal/bbs/P0002353/view.do?menuNo=200433&amp;nttId=10078306.</w:t>
      </w:r>
    </w:p>
    <w:p>
      <w:pPr>
        <w:pStyle w:val="aff4"/>
        <w:spacing w:after="20" w:line="240" w:lineRule="auto"/>
        <w:ind w:left="220" w:hanging="220"/>
      </w:pPr>
      <w:r>
        <w:rPr>
          <w:rFonts w:ascii="Noto Sans CJK KR" w:hAnsi="Noto Sans CJK KR" w:eastAsia="Noto Sans CJK KR" w:cs="Noto Sans CJK KR"/>
          <w:sz w:val="14"/>
        </w:rPr>
        <w:t>법제처. 금융기관에 대한 임시조치법의 연혁. (2006). https://www.moleg.go.kr/mpbleg/mpblegInfo.mo?mid=a10402020000&amp;mn=06&amp;mpb_leg_pst_seq=131009&amp;w=nhn&amp;yr=2006.</w:t>
      </w:r>
    </w:p>
    <w:p>
      <w:pPr>
        <w:pStyle w:val="aff4"/>
        <w:spacing w:after="20" w:line="240" w:lineRule="auto"/>
        <w:ind w:left="220" w:hanging="220"/>
      </w:pPr>
      <w:r>
        <w:rPr>
          <w:rFonts w:ascii="Noto Sans CJK KR" w:hAnsi="Noto Sans CJK KR" w:eastAsia="Noto Sans CJK KR" w:cs="Noto Sans CJK KR"/>
          <w:sz w:val="14"/>
        </w:rPr>
        <w:t>한국거래소. 장내청산결제의 의의와 중앙청산기관 역할. (2026). https://open.krx.co.kr/contents/OPN/02/02020101/OPN02020101.jsp.</w:t>
      </w:r>
    </w:p>
    <w:p>
      <w:pPr>
        <w:pStyle w:val="aff4"/>
        <w:spacing w:after="20" w:line="240" w:lineRule="auto"/>
        <w:ind w:left="220" w:hanging="220"/>
      </w:pPr>
      <w:r>
        <w:rPr>
          <w:rFonts w:ascii="Noto Sans CJK KR" w:hAnsi="Noto Sans CJK KR" w:eastAsia="Noto Sans CJK KR" w:cs="Noto Sans CJK KR"/>
          <w:sz w:val="14"/>
        </w:rPr>
        <w:t>한국거래소. 한국거래소 소개: 설립목적과 주요기능. (2026). https://info.krx.co.kr/contents/KRX/01/01030000/KRX01030000.jsp?pageCount=1.</w:t>
      </w:r>
    </w:p>
    <w:p>
      <w:pPr>
        <w:pStyle w:val="aff4"/>
        <w:spacing w:after="20" w:line="240" w:lineRule="auto"/>
        <w:ind w:left="220" w:hanging="220"/>
      </w:pPr>
      <w:r>
        <w:rPr>
          <w:rFonts w:ascii="Noto Sans CJK KR" w:hAnsi="Noto Sans CJK KR" w:eastAsia="Noto Sans CJK KR" w:cs="Noto Sans CJK KR"/>
          <w:sz w:val="14"/>
        </w:rPr>
        <w:t>한국산업은행. 한국산업은행 소개와 설립 목적. (2026). https://www.kdb.co.kr/MHMNMN00N01.act.</w:t>
      </w:r>
    </w:p>
    <w:p>
      <w:pPr>
        <w:pStyle w:val="aff4"/>
        <w:spacing w:after="20" w:line="240" w:lineRule="auto"/>
        <w:ind w:left="220" w:hanging="220"/>
      </w:pPr>
      <w:r>
        <w:rPr>
          <w:rFonts w:ascii="Noto Sans CJK KR" w:hAnsi="Noto Sans CJK KR" w:eastAsia="Noto Sans CJK KR" w:cs="Noto Sans CJK KR"/>
          <w:sz w:val="14"/>
        </w:rPr>
        <w:t>한국은행. 1997년 11월 금융·외환위기 일지. (1997). https://www.bok.or.kr/portal/bbs/P0002329/view.do?menuNo=200696&amp;nttId=1527&amp;pageIndex=28.</w:t>
      </w:r>
    </w:p>
    <w:p>
      <w:pPr>
        <w:pStyle w:val="aff4"/>
        <w:spacing w:after="20" w:line="240" w:lineRule="auto"/>
        <w:ind w:left="220" w:hanging="220"/>
      </w:pPr>
      <w:r>
        <w:rPr>
          <w:rFonts w:ascii="Noto Sans CJK KR" w:hAnsi="Noto Sans CJK KR" w:eastAsia="Noto Sans CJK KR" w:cs="Noto Sans CJK KR"/>
          <w:sz w:val="14"/>
        </w:rPr>
        <w:t>한국은행. 한국의 금융자유화와 금융위기(조사연구자료 99-3). (1999). https://www.bok.or.kr/portal/bbs/P0000537/view.do?menuNo=200436&amp;nttId=4589&amp;pageIndex=21.</w:t>
      </w:r>
    </w:p>
    <w:p>
      <w:pPr>
        <w:pStyle w:val="aff4"/>
        <w:spacing w:after="20" w:line="240" w:lineRule="auto"/>
        <w:ind w:left="220" w:hanging="220"/>
      </w:pPr>
      <w:r>
        <w:rPr>
          <w:rFonts w:ascii="Noto Sans CJK KR" w:hAnsi="Noto Sans CJK KR" w:eastAsia="Noto Sans CJK KR" w:cs="Noto Sans CJK KR"/>
          <w:sz w:val="14"/>
        </w:rPr>
        <w:t>한국은행. 금리자유화 추진 경과. (2004). https://www.bok.or.kr/portal/bbs/P0000559/view.do?menuNo=200690&amp;nttId=42293.</w:t>
      </w:r>
    </w:p>
    <w:p>
      <w:pPr>
        <w:pStyle w:val="aff4"/>
        <w:spacing w:after="20" w:line="240" w:lineRule="auto"/>
        <w:ind w:left="220" w:hanging="220"/>
      </w:pPr>
      <w:r>
        <w:rPr>
          <w:rFonts w:ascii="Noto Sans CJK KR" w:hAnsi="Noto Sans CJK KR" w:eastAsia="Noto Sans CJK KR" w:cs="Noto Sans CJK KR"/>
          <w:sz w:val="14"/>
        </w:rPr>
        <w:t>한국은행. 조선은행권과 전시 금융. (2017). https://www.bok.or.kr/portal/bbs/B0000219/view.do?menuNo=200148&amp;nttId=236331&amp;pageIndex=1&amp;searchOptn2=06.</w:t>
      </w:r>
    </w:p>
    <w:p>
      <w:pPr>
        <w:pStyle w:val="aff4"/>
        <w:spacing w:after="20" w:line="240" w:lineRule="auto"/>
        <w:ind w:left="220" w:hanging="220"/>
      </w:pPr>
      <w:r>
        <w:rPr>
          <w:rFonts w:ascii="Noto Sans CJK KR" w:hAnsi="Noto Sans CJK KR" w:eastAsia="Noto Sans CJK KR" w:cs="Noto Sans CJK KR"/>
          <w:sz w:val="14"/>
        </w:rPr>
        <w:t>한국은행. 디지털화폐 테스트(프로젝트 한강) 일반 이용자 실거래 실시 계획. (2025). https://www.bok.or.kr/portal/bbs/B0000502/view.do?menuNo=201265&amp;nttId=10090447.</w:t>
      </w:r>
    </w:p>
    <w:p>
      <w:pPr>
        <w:pStyle w:val="aff4"/>
        <w:spacing w:after="20" w:line="240" w:lineRule="auto"/>
        <w:ind w:left="220" w:hanging="220"/>
      </w:pPr>
      <w:r>
        <w:rPr>
          <w:rFonts w:ascii="Noto Sans CJK KR" w:hAnsi="Noto Sans CJK KR" w:eastAsia="Noto Sans CJK KR" w:cs="Noto Sans CJK KR"/>
          <w:sz w:val="14"/>
        </w:rPr>
        <w:t>한국은행. 중앙은행과 금융안정. (2026). https://www.bok.or.kr/portal/main/contents.do?menuNo=200324.</w:t>
      </w:r>
    </w:p>
    <w:p>
      <w:pPr>
        <w:pStyle w:val="aff4"/>
        <w:spacing w:after="20" w:line="240" w:lineRule="auto"/>
        <w:ind w:left="220" w:hanging="220"/>
      </w:pPr>
      <w:r>
        <w:rPr>
          <w:rFonts w:ascii="Noto Sans CJK KR" w:hAnsi="Noto Sans CJK KR" w:eastAsia="Noto Sans CJK KR" w:cs="Noto Sans CJK KR"/>
          <w:sz w:val="14"/>
        </w:rPr>
        <w:t>한국은행. 지급결제제도와 중앙은행. (2026). https://www.bok.or.kr/portal/main/contents.do?menuNo=200346.</w:t>
      </w:r>
    </w:p>
    <w:p>
      <w:pPr>
        <w:pStyle w:val="aff4"/>
        <w:spacing w:after="20" w:line="240" w:lineRule="auto"/>
        <w:ind w:left="220" w:hanging="220"/>
      </w:pPr>
      <w:r>
        <w:rPr>
          <w:rFonts w:ascii="Noto Sans CJK KR" w:hAnsi="Noto Sans CJK KR" w:eastAsia="Noto Sans CJK KR" w:cs="Noto Sans CJK KR"/>
          <w:sz w:val="14"/>
        </w:rPr>
        <w:t>한국은행. 한국은행법의 변천: 1950년 제정과 한국은행 설립. (2026). https://www.bok.or.kr/portal/main/contents.do?menuNo=200781.</w:t>
      </w:r>
    </w:p>
    <w:p>
      <w:pPr>
        <w:pStyle w:val="aff4"/>
        <w:spacing w:after="20" w:line="240" w:lineRule="auto"/>
        <w:ind w:left="220" w:hanging="220"/>
      </w:pPr>
      <w:r>
        <w:rPr>
          <w:rFonts w:ascii="Noto Sans CJK KR" w:hAnsi="Noto Sans CJK KR" w:eastAsia="Noto Sans CJK KR" w:cs="Noto Sans CJK KR"/>
          <w:sz w:val="14"/>
        </w:rPr>
        <w:t>한국은행. 한국은행법의 변천: 1962년 제1차 개정. (2026). https://www.bok.or.kr/portal/main/contents.do?menuNo=200781.</w:t>
      </w:r>
    </w:p>
    <w:p>
      <w:pPr>
        <w:pStyle w:val="aff4"/>
        <w:spacing w:after="20" w:line="240" w:lineRule="auto"/>
        <w:ind w:left="220" w:hanging="220"/>
      </w:pPr>
      <w:r>
        <w:rPr>
          <w:rFonts w:ascii="Noto Sans CJK KR" w:hAnsi="Noto Sans CJK KR" w:eastAsia="Noto Sans CJK KR" w:cs="Noto Sans CJK KR"/>
          <w:sz w:val="14"/>
        </w:rPr>
        <w:t>한국은행. 디지털화폐 연구개발 현황과 프로젝트 한강. (2026). https://www.bok.or.kr/portal/submain/submain/cbdc.do?menuNo=201136.</w:t>
      </w:r>
    </w:p>
    <w:p>
      <w:pPr>
        <w:pStyle w:val="aff4"/>
        <w:spacing w:after="20" w:line="240" w:lineRule="auto"/>
        <w:ind w:left="220" w:hanging="220"/>
      </w:pPr>
      <w:r>
        <w:rPr>
          <w:rFonts w:ascii="Noto Sans CJK KR" w:hAnsi="Noto Sans CJK KR" w:eastAsia="Noto Sans CJK KR" w:cs="Noto Sans CJK KR"/>
          <w:sz w:val="14"/>
        </w:rPr>
        <w:t>한국은행. 1962년 긴급통화조치와 원화 체계. (2026). https://www.bok.or.kr/portal/main/contents.do?menuNo=200382.</w:t>
      </w:r>
    </w:p>
    <w:p>
      <w:pPr>
        <w:pStyle w:val="aff4"/>
        <w:spacing w:after="20" w:line="240" w:lineRule="auto"/>
        <w:ind w:left="220" w:hanging="220"/>
      </w:pPr>
      <w:r>
        <w:rPr>
          <w:rFonts w:ascii="Noto Sans CJK KR" w:hAnsi="Noto Sans CJK KR" w:eastAsia="Noto Sans CJK KR" w:cs="Noto Sans CJK KR"/>
          <w:sz w:val="14"/>
        </w:rPr>
        <w:t>한국은행. 한국은행, 프로젝트 한강 2단계 본격 추진. (2026). https://www.bok.or.kr/portal/bbs/B0000502/view.do?menuNo=201265&amp;nttId=10097017.</w:t>
      </w:r>
    </w:p>
    <w:p>
      <w:pPr>
        <w:pStyle w:val="aff4"/>
        <w:spacing w:after="20" w:line="240" w:lineRule="auto"/>
        <w:ind w:left="220" w:hanging="220"/>
      </w:pPr>
      <w:r>
        <w:rPr>
          <w:rFonts w:ascii="Noto Sans CJK KR" w:hAnsi="Noto Sans CJK KR" w:eastAsia="Noto Sans CJK KR" w:cs="Noto Sans CJK KR"/>
          <w:sz w:val="14"/>
        </w:rPr>
        <w:t>한국은행. 청사진에서 일상으로: 미래 화폐를 현실로 옮긴 프로젝트 한강. (2026). https://www.bok.or.kr/portal/bbs/B0000502/view.do?menuNo=201265&amp;nttId=11062536.</w:t>
      </w:r>
    </w:p>
    <w:p>
      <w:pPr>
        <w:pStyle w:val="aff4"/>
        <w:spacing w:after="20" w:line="240" w:lineRule="auto"/>
        <w:ind w:left="220" w:hanging="220"/>
      </w:pPr>
      <w:r>
        <w:rPr>
          <w:rFonts w:ascii="Noto Sans CJK KR" w:hAnsi="Noto Sans CJK KR" w:eastAsia="Noto Sans CJK KR" w:cs="Noto Sans CJK KR"/>
          <w:sz w:val="14"/>
        </w:rPr>
        <w:t>한국은행 디지털아카이브. 구 한국은행의 설립과 업무 개시. (1909). 한국은행. https://archives.bok.or.kr/content/guide/get/861.</w:t>
      </w:r>
    </w:p>
    <w:p>
      <w:pPr>
        <w:pStyle w:val="aff4"/>
        <w:spacing w:after="20" w:line="240" w:lineRule="auto"/>
        <w:ind w:left="220" w:hanging="220"/>
      </w:pPr>
      <w:r>
        <w:rPr>
          <w:rFonts w:ascii="Noto Sans CJK KR" w:hAnsi="Noto Sans CJK KR" w:eastAsia="Noto Sans CJK KR" w:cs="Noto Sans CJK KR"/>
          <w:sz w:val="14"/>
        </w:rPr>
        <w:t>한국은행 디지털아카이브. 1997년 한국은행법 개정과 중앙은행 독립성 강화. (1997). 한국은행. https://archives.bok.or.kr/content/exhibition/get/821/1281.</w:t>
      </w:r>
    </w:p>
    <w:p>
      <w:pPr>
        <w:pStyle w:val="aff4"/>
        <w:spacing w:after="20" w:line="240" w:lineRule="auto"/>
        <w:ind w:left="220" w:hanging="220"/>
      </w:pPr>
      <w:r>
        <w:rPr>
          <w:rFonts w:ascii="Noto Sans CJK KR" w:hAnsi="Noto Sans CJK KR" w:eastAsia="Noto Sans CJK KR" w:cs="Noto Sans CJK KR"/>
          <w:sz w:val="14"/>
        </w:rPr>
        <w:t>한국은행 디지털아카이브. (구)한국은행 약사: 1878년 제일은행 부산지점에서 1909년 구 한국은행까지. (2026). 한국은행. https://archives.bok.or.kr/content/guide/get/861.</w:t>
      </w:r>
    </w:p>
    <w:p>
      <w:pPr>
        <w:pStyle w:val="aff4"/>
        <w:spacing w:after="20" w:line="240" w:lineRule="auto"/>
        <w:ind w:left="220" w:hanging="220"/>
      </w:pPr>
      <w:r>
        <w:rPr>
          <w:rFonts w:ascii="Noto Sans CJK KR" w:hAnsi="Noto Sans CJK KR" w:eastAsia="Noto Sans CJK KR" w:cs="Noto Sans CJK KR"/>
          <w:sz w:val="14"/>
        </w:rPr>
        <w:t>한국은행 인천본부. 경제용어: LTV와 DTI. (2016). 한국은행. https://www.bok.or.kr/portal/bbs/P0000795/view.do?menuNo=200560&amp;nttId=219646.</w:t>
      </w:r>
    </w:p>
    <w:p>
      <w:pPr>
        <w:pStyle w:val="aff4"/>
        <w:spacing w:after="20" w:line="240" w:lineRule="auto"/>
        <w:ind w:left="220" w:hanging="220"/>
      </w:pPr>
      <w:r>
        <w:rPr>
          <w:rFonts w:ascii="Noto Sans CJK KR" w:hAnsi="Noto Sans CJK KR" w:eastAsia="Noto Sans CJK KR" w:cs="Noto Sans CJK KR"/>
          <w:sz w:val="14"/>
        </w:rPr>
        <w:t>한국은행 화폐박물관. 우리나라의 화폐: 해방 이후 한국은행 설립 전. (2018). 한국은행. https://www.bok.or.kr/museum/bbs/B0000219/view.do?menuNo=700858&amp;nttId=236330&amp;optn2=06&amp;pageIndex=1.</w:t>
      </w:r>
    </w:p>
    <w:p>
      <w:pPr>
        <w:pStyle w:val="aff4"/>
        <w:spacing w:after="20" w:line="240" w:lineRule="auto"/>
        <w:ind w:left="220" w:hanging="220"/>
      </w:pPr>
      <w:r>
        <w:rPr>
          <w:rFonts w:ascii="Noto Sans CJK KR" w:hAnsi="Noto Sans CJK KR" w:eastAsia="Noto Sans CJK KR" w:cs="Noto Sans CJK KR"/>
          <w:sz w:val="14"/>
        </w:rPr>
        <w:t>한국은행 화폐박물관. 개항기 화폐제도와 1894년 신식화폐발행장정·1901년 화폐조례. (2026). 한국은행. https://www.bok.or.kr/museum/bbs/B0000516/view.do?menuNo=700861&amp;nttId=10085219.</w:t>
      </w:r>
    </w:p>
    <w:p>
      <w:pPr>
        <w:pStyle w:val="aff4"/>
        <w:spacing w:after="20" w:line="240" w:lineRule="auto"/>
        <w:ind w:left="220" w:hanging="220"/>
      </w:pPr>
      <w:r>
        <w:rPr>
          <w:rFonts w:ascii="Noto Sans CJK KR" w:hAnsi="Noto Sans CJK KR" w:eastAsia="Noto Sans CJK KR" w:cs="Noto Sans CJK KR"/>
          <w:sz w:val="14"/>
        </w:rPr>
        <w:t>한국은행 화폐박물관. 한국의 화폐: 당백전. (2026). 한국은행. https://www.bok.or.kr/museum/singl/crrncySearch/view.do?crrncySn=5868&amp;listType=G&amp;menuNo=700127&amp;pageIndex=262.</w:t>
      </w:r>
    </w:p>
    <w:p>
      <w:pPr>
        <w:pStyle w:val="aff4"/>
        <w:spacing w:after="20" w:line="240" w:lineRule="auto"/>
        <w:ind w:left="220" w:hanging="220"/>
      </w:pPr>
      <w:r>
        <w:rPr>
          <w:rFonts w:ascii="Noto Sans CJK KR" w:hAnsi="Noto Sans CJK KR" w:eastAsia="Noto Sans CJK KR" w:cs="Noto Sans CJK KR"/>
          <w:sz w:val="14"/>
        </w:rPr>
        <w:t>한국은행 화폐박물관. 상평통보 갤러리. (2026). 한국은행. https://www.bok.or.kr/museum/main/contents.do?menuNo=700843.</w:t>
      </w:r>
    </w:p>
    <w:p>
      <w:pPr>
        <w:pStyle w:val="aff4"/>
        <w:spacing w:after="20" w:line="240" w:lineRule="auto"/>
        <w:ind w:left="220" w:hanging="220"/>
      </w:pPr>
      <w:r>
        <w:rPr>
          <w:rFonts w:ascii="Noto Sans CJK KR" w:hAnsi="Noto Sans CJK KR" w:eastAsia="Noto Sans CJK KR" w:cs="Noto Sans CJK KR"/>
          <w:sz w:val="14"/>
        </w:rPr>
        <w:t>한국은행 화폐박물관. 한국은행 화폐박물관 30선: 상평통보. (2026). 한국은행. https://www.bok.or.kr/museum/bbs/B0000516/view.do?menuNo=700861&amp;nttId=10085226.</w:t>
      </w:r>
    </w:p>
    <w:p>
      <w:r>
        <w:br w:type="page"/>
      </w:r>
    </w:p>
    <w:p>
      <w:pPr>
        <w:spacing w:before="320" w:after="0"/>
      </w:pPr>
    </w:p>
    <w:p>
      <w:pPr>
        <w:pStyle w:val="aff1"/>
        <w:jc w:val="center"/>
      </w:pPr>
      <w:r>
        <w:rPr>
          <w:rFonts w:ascii="KoPubWorld바탕체_Pro Bold" w:hAnsi="KoPubWorld바탕체_Pro Bold" w:eastAsia="KoPubWorld바탕체_Pro Bold" w:cs="KoPubWorld바탕체_Pro Bold"/>
          <w:b/>
          <w:sz w:val="28"/>
        </w:rPr>
        <w:t>찾아보기</w:t>
      </w:r>
    </w:p>
    <w:p>
      <w:pPr>
        <w:spacing w:before="100" w:after="0"/>
      </w:pPr>
    </w:p>
    <w:p>
      <w:pPr>
        <w:pStyle w:val="aff4"/>
        <w:spacing w:after="20" w:line="240" w:lineRule="auto"/>
        <w:ind w:left="140" w:hanging="140"/>
      </w:pPr>
      <w:r>
        <w:rPr>
          <w:rFonts w:ascii="Noto Sans CJK KR" w:hAnsi="Noto Sans CJK KR" w:eastAsia="Noto Sans CJK KR" w:cs="Noto Sans CJK KR"/>
          <w:sz w:val="16"/>
        </w:rPr>
        <w:t>AI 신용평가  9, 213, 272</w:t>
      </w:r>
    </w:p>
    <w:p>
      <w:pPr>
        <w:pStyle w:val="aff4"/>
        <w:spacing w:after="20" w:line="240" w:lineRule="auto"/>
        <w:ind w:left="140" w:hanging="140"/>
      </w:pPr>
      <w:r>
        <w:rPr>
          <w:rFonts w:ascii="Noto Sans CJK KR" w:hAnsi="Noto Sans CJK KR" w:eastAsia="Noto Sans CJK KR" w:cs="Noto Sans CJK KR"/>
          <w:sz w:val="16"/>
        </w:rPr>
        <w:t>Bagehot</w:t>
      </w:r>
    </w:p>
    <w:p>
      <w:pPr>
        <w:pStyle w:val="aff4"/>
        <w:spacing w:after="20" w:line="240" w:lineRule="auto"/>
        <w:ind w:left="140" w:hanging="140"/>
      </w:pPr>
      <w:r>
        <w:rPr>
          <w:rFonts w:ascii="Noto Sans CJK KR" w:hAnsi="Noto Sans CJK KR" w:eastAsia="Noto Sans CJK KR" w:cs="Noto Sans CJK KR"/>
          <w:sz w:val="16"/>
        </w:rPr>
        <w:t>bail-in  251</w:t>
      </w:r>
    </w:p>
    <w:p>
      <w:pPr>
        <w:pStyle w:val="aff4"/>
        <w:spacing w:after="20" w:line="240" w:lineRule="auto"/>
        <w:ind w:left="140" w:hanging="140"/>
      </w:pPr>
      <w:r>
        <w:rPr>
          <w:rFonts w:ascii="Noto Sans CJK KR" w:hAnsi="Noto Sans CJK KR" w:eastAsia="Noto Sans CJK KR" w:cs="Noto Sans CJK KR"/>
          <w:sz w:val="16"/>
        </w:rPr>
        <w:t>Basel I  9-10</w:t>
      </w:r>
    </w:p>
    <w:p>
      <w:pPr>
        <w:pStyle w:val="aff4"/>
        <w:spacing w:after="20" w:line="240" w:lineRule="auto"/>
        <w:ind w:left="140" w:hanging="140"/>
      </w:pPr>
      <w:r>
        <w:rPr>
          <w:rFonts w:ascii="Noto Sans CJK KR" w:hAnsi="Noto Sans CJK KR" w:eastAsia="Noto Sans CJK KR" w:cs="Noto Sans CJK KR"/>
          <w:sz w:val="16"/>
        </w:rPr>
        <w:t>Basel II  9-10</w:t>
      </w:r>
    </w:p>
    <w:p>
      <w:pPr>
        <w:pStyle w:val="aff4"/>
        <w:spacing w:after="20" w:line="240" w:lineRule="auto"/>
        <w:ind w:left="140" w:hanging="140"/>
      </w:pPr>
      <w:r>
        <w:rPr>
          <w:rFonts w:ascii="Noto Sans CJK KR" w:hAnsi="Noto Sans CJK KR" w:eastAsia="Noto Sans CJK KR" w:cs="Noto Sans CJK KR"/>
          <w:sz w:val="16"/>
        </w:rPr>
        <w:t>Basel III  9-10</w:t>
      </w:r>
    </w:p>
    <w:p>
      <w:pPr>
        <w:pStyle w:val="aff4"/>
        <w:spacing w:after="20" w:line="240" w:lineRule="auto"/>
        <w:ind w:left="140" w:hanging="140"/>
      </w:pPr>
      <w:r>
        <w:rPr>
          <w:rFonts w:ascii="Noto Sans CJK KR" w:hAnsi="Noto Sans CJK KR" w:eastAsia="Noto Sans CJK KR" w:cs="Noto Sans CJK KR"/>
          <w:sz w:val="16"/>
        </w:rPr>
        <w:t>BCBS</w:t>
      </w:r>
    </w:p>
    <w:p>
      <w:pPr>
        <w:pStyle w:val="aff4"/>
        <w:spacing w:after="20" w:line="240" w:lineRule="auto"/>
        <w:ind w:left="140" w:hanging="140"/>
      </w:pPr>
      <w:r>
        <w:rPr>
          <w:rFonts w:ascii="Noto Sans CJK KR" w:hAnsi="Noto Sans CJK KR" w:eastAsia="Noto Sans CJK KR" w:cs="Noto Sans CJK KR"/>
          <w:sz w:val="16"/>
        </w:rPr>
        <w:t>BIS  266-267</w:t>
      </w:r>
    </w:p>
    <w:p>
      <w:pPr>
        <w:pStyle w:val="aff4"/>
        <w:spacing w:after="20" w:line="240" w:lineRule="auto"/>
        <w:ind w:left="140" w:hanging="140"/>
      </w:pPr>
      <w:r>
        <w:rPr>
          <w:rFonts w:ascii="Noto Sans CJK KR" w:hAnsi="Noto Sans CJK KR" w:eastAsia="Noto Sans CJK KR" w:cs="Noto Sans CJK KR"/>
          <w:sz w:val="16"/>
        </w:rPr>
        <w:t>BRRD</w:t>
      </w:r>
    </w:p>
    <w:p>
      <w:pPr>
        <w:pStyle w:val="aff4"/>
        <w:spacing w:after="20" w:line="240" w:lineRule="auto"/>
        <w:ind w:left="140" w:hanging="140"/>
      </w:pPr>
      <w:r>
        <w:rPr>
          <w:rFonts w:ascii="Noto Sans CJK KR" w:hAnsi="Noto Sans CJK KR" w:eastAsia="Noto Sans CJK KR" w:cs="Noto Sans CJK KR"/>
          <w:sz w:val="16"/>
        </w:rPr>
        <w:t>CBDC  199, 202, 204, 233-234, 256, 266</w:t>
      </w:r>
    </w:p>
    <w:p>
      <w:pPr>
        <w:pStyle w:val="aff4"/>
        <w:spacing w:after="20" w:line="240" w:lineRule="auto"/>
        <w:ind w:left="140" w:hanging="140"/>
      </w:pPr>
      <w:r>
        <w:rPr>
          <w:rFonts w:ascii="Noto Sans CJK KR" w:hAnsi="Noto Sans CJK KR" w:eastAsia="Noto Sans CJK KR" w:cs="Noto Sans CJK KR"/>
          <w:sz w:val="16"/>
        </w:rPr>
        <w:t>CFPB  135, 240</w:t>
      </w:r>
    </w:p>
    <w:p>
      <w:pPr>
        <w:pStyle w:val="aff4"/>
        <w:spacing w:after="20" w:line="240" w:lineRule="auto"/>
        <w:ind w:left="140" w:hanging="140"/>
      </w:pPr>
      <w:r>
        <w:rPr>
          <w:rFonts w:ascii="Noto Sans CJK KR" w:hAnsi="Noto Sans CJK KR" w:eastAsia="Noto Sans CJK KR" w:cs="Noto Sans CJK KR"/>
          <w:sz w:val="16"/>
        </w:rPr>
        <w:t>Dodd-Frank  9</w:t>
      </w:r>
    </w:p>
    <w:p>
      <w:pPr>
        <w:pStyle w:val="aff4"/>
        <w:spacing w:after="20" w:line="240" w:lineRule="auto"/>
        <w:ind w:left="140" w:hanging="140"/>
      </w:pPr>
      <w:r>
        <w:rPr>
          <w:rFonts w:ascii="Noto Sans CJK KR" w:hAnsi="Noto Sans CJK KR" w:eastAsia="Noto Sans CJK KR" w:cs="Noto Sans CJK KR"/>
          <w:sz w:val="16"/>
        </w:rPr>
        <w:t>DORA  206, 209-210, 228, 262, 271-272</w:t>
      </w:r>
    </w:p>
    <w:p>
      <w:pPr>
        <w:pStyle w:val="aff4"/>
        <w:spacing w:after="20" w:line="240" w:lineRule="auto"/>
        <w:ind w:left="140" w:hanging="140"/>
      </w:pPr>
      <w:r>
        <w:rPr>
          <w:rFonts w:ascii="Noto Sans CJK KR" w:hAnsi="Noto Sans CJK KR" w:eastAsia="Noto Sans CJK KR" w:cs="Noto Sans CJK KR"/>
          <w:sz w:val="16"/>
        </w:rPr>
        <w:t>FATF  228, 254, 256, 262, 267</w:t>
      </w:r>
    </w:p>
    <w:p>
      <w:pPr>
        <w:pStyle w:val="aff4"/>
        <w:spacing w:after="20" w:line="240" w:lineRule="auto"/>
        <w:ind w:left="140" w:hanging="140"/>
      </w:pPr>
      <w:r>
        <w:rPr>
          <w:rFonts w:ascii="Noto Sans CJK KR" w:hAnsi="Noto Sans CJK KR" w:eastAsia="Noto Sans CJK KR" w:cs="Noto Sans CJK KR"/>
          <w:sz w:val="16"/>
        </w:rPr>
        <w:t>FDIC  80, 83-85, 135, 237, 240, 260, 266, 271-272</w:t>
      </w:r>
    </w:p>
    <w:p>
      <w:pPr>
        <w:pStyle w:val="aff4"/>
        <w:spacing w:after="20" w:line="240" w:lineRule="auto"/>
        <w:ind w:left="140" w:hanging="140"/>
      </w:pPr>
      <w:r>
        <w:rPr>
          <w:rFonts w:ascii="Noto Sans CJK KR" w:hAnsi="Noto Sans CJK KR" w:eastAsia="Noto Sans CJK KR" w:cs="Noto Sans CJK KR"/>
          <w:sz w:val="16"/>
        </w:rPr>
        <w:t>FSB  134, 140, 227, 240-241, 262, 265, 267, 271</w:t>
      </w:r>
    </w:p>
    <w:p>
      <w:pPr>
        <w:pStyle w:val="aff4"/>
        <w:spacing w:after="20" w:line="240" w:lineRule="auto"/>
        <w:ind w:left="140" w:hanging="140"/>
      </w:pPr>
      <w:r>
        <w:rPr>
          <w:rFonts w:ascii="Noto Sans CJK KR" w:hAnsi="Noto Sans CJK KR" w:eastAsia="Noto Sans CJK KR" w:cs="Noto Sans CJK KR"/>
          <w:sz w:val="16"/>
        </w:rPr>
        <w:t>Glass-Steagall  10</w:t>
      </w:r>
    </w:p>
    <w:p>
      <w:pPr>
        <w:pStyle w:val="aff4"/>
        <w:spacing w:after="20" w:line="240" w:lineRule="auto"/>
        <w:ind w:left="140" w:hanging="140"/>
      </w:pPr>
      <w:r>
        <w:rPr>
          <w:rFonts w:ascii="Noto Sans CJK KR" w:hAnsi="Noto Sans CJK KR" w:eastAsia="Noto Sans CJK KR" w:cs="Noto Sans CJK KR"/>
          <w:sz w:val="16"/>
        </w:rPr>
        <w:t>Herstatt</w:t>
      </w:r>
    </w:p>
    <w:p>
      <w:pPr>
        <w:pStyle w:val="aff4"/>
        <w:spacing w:after="20" w:line="240" w:lineRule="auto"/>
        <w:ind w:left="140" w:hanging="140"/>
      </w:pPr>
      <w:r>
        <w:rPr>
          <w:rFonts w:ascii="Noto Sans CJK KR" w:hAnsi="Noto Sans CJK KR" w:eastAsia="Noto Sans CJK KR" w:cs="Noto Sans CJK KR"/>
          <w:sz w:val="16"/>
        </w:rPr>
        <w:t>IMF  89-91, 112, 115, 225, 231, 238, 260, 264, 266-267, 271</w:t>
      </w:r>
    </w:p>
    <w:p>
      <w:pPr>
        <w:pStyle w:val="aff4"/>
        <w:spacing w:after="20" w:line="240" w:lineRule="auto"/>
        <w:ind w:left="140" w:hanging="140"/>
      </w:pPr>
      <w:r>
        <w:rPr>
          <w:rFonts w:ascii="Noto Sans CJK KR" w:hAnsi="Noto Sans CJK KR" w:eastAsia="Noto Sans CJK KR" w:cs="Noto Sans CJK KR"/>
          <w:sz w:val="16"/>
        </w:rPr>
        <w:t>LTCM  119-120, 226, 239, 261</w:t>
      </w:r>
    </w:p>
    <w:p>
      <w:pPr>
        <w:pStyle w:val="aff4"/>
        <w:spacing w:after="20" w:line="240" w:lineRule="auto"/>
        <w:ind w:left="140" w:hanging="140"/>
      </w:pPr>
      <w:r>
        <w:rPr>
          <w:rFonts w:ascii="Noto Sans CJK KR" w:hAnsi="Noto Sans CJK KR" w:eastAsia="Noto Sans CJK KR" w:cs="Noto Sans CJK KR"/>
          <w:sz w:val="16"/>
        </w:rPr>
        <w:t>MiCA  192, 196-198, 200-201, 228, 255-256, 262, 269, 271-272</w:t>
      </w:r>
    </w:p>
    <w:p>
      <w:pPr>
        <w:pStyle w:val="aff4"/>
        <w:spacing w:after="20" w:line="240" w:lineRule="auto"/>
        <w:ind w:left="140" w:hanging="140"/>
      </w:pPr>
      <w:r>
        <w:rPr>
          <w:rFonts w:ascii="Noto Sans CJK KR" w:hAnsi="Noto Sans CJK KR" w:eastAsia="Noto Sans CJK KR" w:cs="Noto Sans CJK KR"/>
          <w:sz w:val="16"/>
        </w:rPr>
        <w:t>Pecora  80</w:t>
      </w:r>
    </w:p>
    <w:p>
      <w:pPr>
        <w:pStyle w:val="aff4"/>
        <w:spacing w:after="20" w:line="240" w:lineRule="auto"/>
        <w:ind w:left="140" w:hanging="140"/>
      </w:pPr>
      <w:r>
        <w:rPr>
          <w:rFonts w:ascii="Noto Sans CJK KR" w:hAnsi="Noto Sans CJK KR" w:eastAsia="Noto Sans CJK KR" w:cs="Noto Sans CJK KR"/>
          <w:sz w:val="16"/>
        </w:rPr>
        <w:t>SEC  80, 84-85, 121, 237, 260, 266, 271-272</w:t>
      </w:r>
    </w:p>
    <w:p>
      <w:pPr>
        <w:pStyle w:val="aff4"/>
        <w:spacing w:after="20" w:line="240" w:lineRule="auto"/>
        <w:ind w:left="140" w:hanging="140"/>
      </w:pPr>
      <w:r>
        <w:rPr>
          <w:rFonts w:ascii="Noto Sans CJK KR" w:hAnsi="Noto Sans CJK KR" w:eastAsia="Noto Sans CJK KR" w:cs="Noto Sans CJK KR"/>
          <w:sz w:val="16"/>
        </w:rPr>
        <w:t>SVB  267</w:t>
      </w:r>
    </w:p>
    <w:p>
      <w:pPr>
        <w:pStyle w:val="aff4"/>
        <w:spacing w:after="20" w:line="240" w:lineRule="auto"/>
        <w:ind w:left="140" w:hanging="140"/>
      </w:pPr>
      <w:r>
        <w:rPr>
          <w:rFonts w:ascii="Noto Sans CJK KR" w:hAnsi="Noto Sans CJK KR" w:eastAsia="Noto Sans CJK KR" w:cs="Noto Sans CJK KR"/>
          <w:sz w:val="16"/>
        </w:rPr>
        <w:t>TARP  131, 227, 240, 261</w:t>
      </w:r>
    </w:p>
    <w:p>
      <w:pPr>
        <w:pStyle w:val="aff4"/>
        <w:spacing w:after="20" w:line="240" w:lineRule="auto"/>
        <w:ind w:left="140" w:hanging="140"/>
      </w:pPr>
      <w:r>
        <w:rPr>
          <w:rFonts w:ascii="Noto Sans CJK KR" w:hAnsi="Noto Sans CJK KR" w:eastAsia="Noto Sans CJK KR" w:cs="Noto Sans CJK KR"/>
          <w:sz w:val="16"/>
        </w:rPr>
        <w:t>TLAC  140, 142, 240, 251, 262</w:t>
      </w:r>
    </w:p>
    <w:p>
      <w:pPr>
        <w:pStyle w:val="aff4"/>
        <w:spacing w:after="20" w:line="240" w:lineRule="auto"/>
        <w:ind w:left="140" w:hanging="140"/>
      </w:pPr>
      <w:r>
        <w:rPr>
          <w:rFonts w:ascii="Noto Sans CJK KR" w:hAnsi="Noto Sans CJK KR" w:eastAsia="Noto Sans CJK KR" w:cs="Noto Sans CJK KR"/>
          <w:sz w:val="16"/>
        </w:rPr>
        <w:t>가계부채  7, 182, 220</w:t>
      </w:r>
    </w:p>
    <w:p>
      <w:pPr>
        <w:pStyle w:val="aff4"/>
        <w:spacing w:after="20" w:line="240" w:lineRule="auto"/>
        <w:ind w:left="140" w:hanging="140"/>
      </w:pPr>
      <w:r>
        <w:rPr>
          <w:rFonts w:ascii="Noto Sans CJK KR" w:hAnsi="Noto Sans CJK KR" w:eastAsia="Noto Sans CJK KR" w:cs="Noto Sans CJK KR"/>
          <w:sz w:val="16"/>
        </w:rPr>
        <w:t>가상자산  6-7, 9, 192-196, 201, 221, 233-234, 245, 247, 255-256, 264, 266, 269, 271-272</w:t>
      </w:r>
    </w:p>
    <w:p>
      <w:pPr>
        <w:pStyle w:val="aff4"/>
        <w:spacing w:after="20" w:line="240" w:lineRule="auto"/>
        <w:ind w:left="140" w:hanging="140"/>
      </w:pPr>
      <w:r>
        <w:rPr>
          <w:rFonts w:ascii="Noto Sans CJK KR" w:hAnsi="Noto Sans CJK KR" w:eastAsia="Noto Sans CJK KR" w:cs="Noto Sans CJK KR"/>
          <w:sz w:val="16"/>
        </w:rPr>
        <w:t>가상자산 이용자 보호법  194, 201, 255, 264, 271</w:t>
      </w:r>
    </w:p>
    <w:p>
      <w:pPr>
        <w:pStyle w:val="aff4"/>
        <w:spacing w:after="20" w:line="240" w:lineRule="auto"/>
        <w:ind w:left="140" w:hanging="140"/>
      </w:pPr>
      <w:r>
        <w:rPr>
          <w:rFonts w:ascii="Noto Sans CJK KR" w:hAnsi="Noto Sans CJK KR" w:eastAsia="Noto Sans CJK KR" w:cs="Noto Sans CJK KR"/>
          <w:sz w:val="16"/>
        </w:rPr>
        <w:t>가상자산사업자  193, 233, 245, 247, 256, 264</w:t>
      </w:r>
    </w:p>
    <w:p>
      <w:pPr>
        <w:pStyle w:val="aff4"/>
        <w:spacing w:after="20" w:line="240" w:lineRule="auto"/>
        <w:ind w:left="140" w:hanging="140"/>
      </w:pPr>
      <w:r>
        <w:rPr>
          <w:rFonts w:ascii="Noto Sans CJK KR" w:hAnsi="Noto Sans CJK KR" w:eastAsia="Noto Sans CJK KR" w:cs="Noto Sans CJK KR"/>
          <w:sz w:val="16"/>
        </w:rPr>
        <w:t>거시건전성  9, 108, 136, 139-140, 142-143, 167, 173, 177, 182, 232, 251, 253</w:t>
      </w:r>
    </w:p>
    <w:p>
      <w:pPr>
        <w:pStyle w:val="aff4"/>
        <w:spacing w:after="20" w:line="240" w:lineRule="auto"/>
        <w:ind w:left="140" w:hanging="140"/>
      </w:pPr>
      <w:r>
        <w:rPr>
          <w:rFonts w:ascii="Noto Sans CJK KR" w:hAnsi="Noto Sans CJK KR" w:eastAsia="Noto Sans CJK KR" w:cs="Noto Sans CJK KR"/>
          <w:sz w:val="16"/>
        </w:rPr>
        <w:t>그림자금융  9, 122, 126, 132, 227, 254</w:t>
      </w:r>
    </w:p>
    <w:p>
      <w:pPr>
        <w:pStyle w:val="aff4"/>
        <w:spacing w:after="20" w:line="240" w:lineRule="auto"/>
        <w:ind w:left="140" w:hanging="140"/>
      </w:pPr>
      <w:r>
        <w:rPr>
          <w:rFonts w:ascii="Noto Sans CJK KR" w:hAnsi="Noto Sans CJK KR" w:eastAsia="Noto Sans CJK KR" w:cs="Noto Sans CJK KR"/>
          <w:sz w:val="16"/>
        </w:rPr>
        <w:t>금리자유화  165, 231, 263</w:t>
      </w:r>
    </w:p>
    <w:p>
      <w:pPr>
        <w:pStyle w:val="aff4"/>
        <w:spacing w:after="20" w:line="240" w:lineRule="auto"/>
        <w:ind w:left="140" w:hanging="140"/>
      </w:pPr>
      <w:r>
        <w:rPr>
          <w:rFonts w:ascii="Noto Sans CJK KR" w:hAnsi="Noto Sans CJK KR" w:eastAsia="Noto Sans CJK KR" w:cs="Noto Sans CJK KR"/>
          <w:sz w:val="16"/>
        </w:rPr>
        <w:t>금융감독원  171, 175, 195, 202, 232, 244-245, 247, 264</w:t>
      </w:r>
    </w:p>
    <w:p>
      <w:pPr>
        <w:pStyle w:val="aff4"/>
        <w:spacing w:after="20" w:line="240" w:lineRule="auto"/>
        <w:ind w:left="140" w:hanging="140"/>
      </w:pPr>
      <w:r>
        <w:rPr>
          <w:rFonts w:ascii="Noto Sans CJK KR" w:hAnsi="Noto Sans CJK KR" w:eastAsia="Noto Sans CJK KR" w:cs="Noto Sans CJK KR"/>
          <w:sz w:val="16"/>
        </w:rPr>
        <w:t>금융규제 샌드박스  233</w:t>
      </w:r>
    </w:p>
    <w:p>
      <w:pPr>
        <w:pStyle w:val="aff4"/>
        <w:spacing w:after="20" w:line="240" w:lineRule="auto"/>
        <w:ind w:left="140" w:hanging="140"/>
      </w:pPr>
      <w:r>
        <w:rPr>
          <w:rFonts w:ascii="Noto Sans CJK KR" w:hAnsi="Noto Sans CJK KR" w:eastAsia="Noto Sans CJK KR" w:cs="Noto Sans CJK KR"/>
          <w:sz w:val="16"/>
        </w:rPr>
        <w:t>금융소비자보호법  7, 181, 217, 233-234, 246, 254, 264</w:t>
      </w:r>
    </w:p>
    <w:p>
      <w:pPr>
        <w:pStyle w:val="aff4"/>
        <w:spacing w:after="20" w:line="240" w:lineRule="auto"/>
        <w:ind w:left="140" w:hanging="140"/>
      </w:pPr>
      <w:r>
        <w:rPr>
          <w:rFonts w:ascii="Noto Sans CJK KR" w:hAnsi="Noto Sans CJK KR" w:eastAsia="Noto Sans CJK KR" w:cs="Noto Sans CJK KR"/>
          <w:sz w:val="16"/>
        </w:rPr>
        <w:t>금융실명제  264</w:t>
      </w:r>
    </w:p>
    <w:p>
      <w:pPr>
        <w:pStyle w:val="aff4"/>
        <w:spacing w:after="20" w:line="240" w:lineRule="auto"/>
        <w:ind w:left="140" w:hanging="140"/>
      </w:pPr>
      <w:r>
        <w:rPr>
          <w:rFonts w:ascii="Noto Sans CJK KR" w:hAnsi="Noto Sans CJK KR" w:eastAsia="Noto Sans CJK KR" w:cs="Noto Sans CJK KR"/>
          <w:sz w:val="16"/>
        </w:rPr>
        <w:t>금융위원회  171, 175, 195-196, 201-202, 209, 216, 231-234, 243-247, 264</w:t>
      </w:r>
    </w:p>
    <w:p>
      <w:pPr>
        <w:pStyle w:val="aff4"/>
        <w:spacing w:after="20" w:line="240" w:lineRule="auto"/>
        <w:ind w:left="140" w:hanging="140"/>
      </w:pPr>
      <w:r>
        <w:rPr>
          <w:rFonts w:ascii="Noto Sans CJK KR" w:hAnsi="Noto Sans CJK KR" w:eastAsia="Noto Sans CJK KR" w:cs="Noto Sans CJK KR"/>
          <w:sz w:val="16"/>
        </w:rPr>
        <w:t>금융정보분석원  193, 244-245, 255</w:t>
      </w:r>
    </w:p>
    <w:p>
      <w:pPr>
        <w:pStyle w:val="aff4"/>
        <w:spacing w:after="20" w:line="240" w:lineRule="auto"/>
        <w:ind w:left="140" w:hanging="140"/>
      </w:pPr>
      <w:r>
        <w:rPr>
          <w:rFonts w:ascii="Noto Sans CJK KR" w:hAnsi="Noto Sans CJK KR" w:eastAsia="Noto Sans CJK KR" w:cs="Noto Sans CJK KR"/>
          <w:sz w:val="16"/>
        </w:rPr>
        <w:t>금융지주회사  120, 174, 232, 264</w:t>
      </w:r>
    </w:p>
    <w:p>
      <w:pPr>
        <w:pStyle w:val="aff4"/>
        <w:spacing w:after="20" w:line="240" w:lineRule="auto"/>
        <w:ind w:left="140" w:hanging="140"/>
      </w:pPr>
      <w:r>
        <w:rPr>
          <w:rFonts w:ascii="Noto Sans CJK KR" w:hAnsi="Noto Sans CJK KR" w:eastAsia="Noto Sans CJK KR" w:cs="Noto Sans CJK KR"/>
          <w:sz w:val="16"/>
        </w:rPr>
        <w:t>내부모형  9, 110, 123, 138, 141, 220, 226, 261</w:t>
      </w:r>
    </w:p>
    <w:p>
      <w:pPr>
        <w:pStyle w:val="aff4"/>
        <w:spacing w:after="20" w:line="240" w:lineRule="auto"/>
        <w:ind w:left="140" w:hanging="140"/>
      </w:pPr>
      <w:r>
        <w:rPr>
          <w:rFonts w:ascii="Noto Sans CJK KR" w:hAnsi="Noto Sans CJK KR" w:eastAsia="Noto Sans CJK KR" w:cs="Noto Sans CJK KR"/>
          <w:sz w:val="16"/>
        </w:rPr>
        <w:t>대부업  17, 19, 21</w:t>
      </w:r>
    </w:p>
    <w:p>
      <w:pPr>
        <w:pStyle w:val="aff4"/>
        <w:spacing w:after="20" w:line="240" w:lineRule="auto"/>
        <w:ind w:left="140" w:hanging="140"/>
      </w:pPr>
      <w:r>
        <w:rPr>
          <w:rFonts w:ascii="Noto Sans CJK KR" w:hAnsi="Noto Sans CJK KR" w:eastAsia="Noto Sans CJK KR" w:cs="Noto Sans CJK KR"/>
          <w:sz w:val="16"/>
        </w:rPr>
        <w:t>레버리지비율  137-138, 142, 250</w:t>
      </w:r>
    </w:p>
    <w:p>
      <w:pPr>
        <w:pStyle w:val="aff4"/>
        <w:spacing w:after="20" w:line="240" w:lineRule="auto"/>
        <w:ind w:left="140" w:hanging="140"/>
      </w:pPr>
      <w:r>
        <w:rPr>
          <w:rFonts w:ascii="Noto Sans CJK KR" w:hAnsi="Noto Sans CJK KR" w:eastAsia="Noto Sans CJK KR" w:cs="Noto Sans CJK KR"/>
          <w:sz w:val="16"/>
        </w:rPr>
        <w:t>리먼브라더스</w:t>
      </w:r>
    </w:p>
    <w:p>
      <w:pPr>
        <w:pStyle w:val="aff4"/>
        <w:spacing w:after="20" w:line="240" w:lineRule="auto"/>
        <w:ind w:left="140" w:hanging="140"/>
      </w:pPr>
      <w:r>
        <w:rPr>
          <w:rFonts w:ascii="Noto Sans CJK KR" w:hAnsi="Noto Sans CJK KR" w:eastAsia="Noto Sans CJK KR" w:cs="Noto Sans CJK KR"/>
          <w:sz w:val="16"/>
        </w:rPr>
        <w:t>마이데이터  7, 9, 183, 187-188, 233, 264, 272</w:t>
      </w:r>
    </w:p>
    <w:p>
      <w:pPr>
        <w:pStyle w:val="aff4"/>
        <w:spacing w:after="20" w:line="240" w:lineRule="auto"/>
        <w:ind w:left="140" w:hanging="140"/>
      </w:pPr>
      <w:r>
        <w:rPr>
          <w:rFonts w:ascii="Noto Sans CJK KR" w:hAnsi="Noto Sans CJK KR" w:eastAsia="Noto Sans CJK KR" w:cs="Noto Sans CJK KR"/>
          <w:sz w:val="16"/>
        </w:rPr>
        <w:t>만기불일치  10, 100, 113, 139, 159, 170, 238</w:t>
      </w:r>
    </w:p>
    <w:p>
      <w:pPr>
        <w:pStyle w:val="aff4"/>
        <w:spacing w:after="20" w:line="240" w:lineRule="auto"/>
        <w:ind w:left="140" w:hanging="140"/>
      </w:pPr>
      <w:r>
        <w:rPr>
          <w:rFonts w:ascii="Noto Sans CJK KR" w:hAnsi="Noto Sans CJK KR" w:eastAsia="Noto Sans CJK KR" w:cs="Noto Sans CJK KR"/>
          <w:sz w:val="16"/>
        </w:rPr>
        <w:t>모곡  148, 268</w:t>
      </w:r>
    </w:p>
    <w:p>
      <w:pPr>
        <w:pStyle w:val="aff4"/>
        <w:spacing w:after="20" w:line="240" w:lineRule="auto"/>
        <w:ind w:left="140" w:hanging="140"/>
      </w:pPr>
      <w:r>
        <w:rPr>
          <w:rFonts w:ascii="Noto Sans CJK KR" w:hAnsi="Noto Sans CJK KR" w:eastAsia="Noto Sans CJK KR" w:cs="Noto Sans CJK KR"/>
          <w:sz w:val="16"/>
        </w:rPr>
        <w:t>바젤위원회  10, 107, 110, 118, 139-142, 223, 226-228, 241, 262, 266-267</w:t>
      </w:r>
    </w:p>
    <w:p>
      <w:pPr>
        <w:pStyle w:val="aff4"/>
        <w:spacing w:after="20" w:line="240" w:lineRule="auto"/>
        <w:ind w:left="140" w:hanging="140"/>
      </w:pPr>
      <w:r>
        <w:rPr>
          <w:rFonts w:ascii="Noto Sans CJK KR" w:hAnsi="Noto Sans CJK KR" w:eastAsia="Noto Sans CJK KR" w:cs="Noto Sans CJK KR"/>
          <w:sz w:val="16"/>
        </w:rPr>
        <w:t>브레턴우즈  86-87, 89, 91, 94-95, 97-98, 225, 260, 266, 271-272</w:t>
      </w:r>
    </w:p>
    <w:p>
      <w:pPr>
        <w:pStyle w:val="aff4"/>
        <w:spacing w:after="20" w:line="240" w:lineRule="auto"/>
        <w:ind w:left="140" w:hanging="140"/>
      </w:pPr>
      <w:r>
        <w:rPr>
          <w:rFonts w:ascii="Noto Sans CJK KR" w:hAnsi="Noto Sans CJK KR" w:eastAsia="Noto Sans CJK KR" w:cs="Noto Sans CJK KR"/>
          <w:sz w:val="16"/>
        </w:rPr>
        <w:t>비은행금융중개  241, 254</w:t>
      </w:r>
    </w:p>
    <w:p>
      <w:pPr>
        <w:pStyle w:val="aff4"/>
        <w:spacing w:after="20" w:line="240" w:lineRule="auto"/>
        <w:ind w:left="140" w:hanging="140"/>
      </w:pPr>
      <w:r>
        <w:rPr>
          <w:rFonts w:ascii="Noto Sans CJK KR" w:hAnsi="Noto Sans CJK KR" w:eastAsia="Noto Sans CJK KR" w:cs="Noto Sans CJK KR"/>
          <w:sz w:val="16"/>
        </w:rPr>
        <w:t>사이버위험</w:t>
      </w:r>
    </w:p>
    <w:p>
      <w:pPr>
        <w:pStyle w:val="aff4"/>
        <w:spacing w:after="20" w:line="240" w:lineRule="auto"/>
        <w:ind w:left="140" w:hanging="140"/>
      </w:pPr>
      <w:r>
        <w:rPr>
          <w:rFonts w:ascii="Noto Sans CJK KR" w:hAnsi="Noto Sans CJK KR" w:eastAsia="Noto Sans CJK KR" w:cs="Noto Sans CJK KR"/>
          <w:sz w:val="16"/>
        </w:rPr>
        <w:t>스테이블코인  9, 196, 199-202, 204, 221, 233-234, 252, 256, 264, 266</w:t>
      </w:r>
    </w:p>
    <w:p>
      <w:pPr>
        <w:pStyle w:val="aff4"/>
        <w:spacing w:after="20" w:line="240" w:lineRule="auto"/>
        <w:ind w:left="140" w:hanging="140"/>
      </w:pPr>
      <w:r>
        <w:rPr>
          <w:rFonts w:ascii="Noto Sans CJK KR" w:hAnsi="Noto Sans CJK KR" w:eastAsia="Noto Sans CJK KR" w:cs="Noto Sans CJK KR"/>
          <w:sz w:val="16"/>
        </w:rPr>
        <w:t>스트레스테스트  110, 132-133, 135-137, 175, 220, 227, 240-241, 253, 262</w:t>
      </w:r>
    </w:p>
    <w:p>
      <w:pPr>
        <w:pStyle w:val="aff4"/>
        <w:spacing w:after="20" w:line="240" w:lineRule="auto"/>
        <w:ind w:left="140" w:hanging="140"/>
      </w:pPr>
      <w:r>
        <w:rPr>
          <w:rFonts w:ascii="Noto Sans CJK KR" w:hAnsi="Noto Sans CJK KR" w:eastAsia="Noto Sans CJK KR" w:cs="Noto Sans CJK KR"/>
          <w:sz w:val="16"/>
        </w:rPr>
        <w:t>신용평가  6, 8-9, 17, 64, 109, 122, 134, 185, 188, 213-215, 218, 255, 261, 272</w:t>
      </w:r>
    </w:p>
    <w:p>
      <w:pPr>
        <w:pStyle w:val="aff4"/>
        <w:spacing w:after="20" w:line="240" w:lineRule="auto"/>
        <w:ind w:left="140" w:hanging="140"/>
      </w:pPr>
      <w:r>
        <w:rPr>
          <w:rFonts w:ascii="Noto Sans CJK KR" w:hAnsi="Noto Sans CJK KR" w:eastAsia="Noto Sans CJK KR" w:cs="Noto Sans CJK KR"/>
          <w:sz w:val="16"/>
        </w:rPr>
        <w:t>암호자산  142, 196-197, 199, 209-210, 228, 256, 262, 271</w:t>
      </w:r>
    </w:p>
    <w:p>
      <w:pPr>
        <w:pStyle w:val="aff4"/>
        <w:spacing w:after="20" w:line="240" w:lineRule="auto"/>
        <w:ind w:left="140" w:hanging="140"/>
      </w:pPr>
      <w:r>
        <w:rPr>
          <w:rFonts w:ascii="Noto Sans CJK KR" w:hAnsi="Noto Sans CJK KR" w:eastAsia="Noto Sans CJK KR" w:cs="Noto Sans CJK KR"/>
          <w:sz w:val="16"/>
        </w:rPr>
        <w:t>예금보험  6, 8-9, 48, 75, 78-79, 83, 85, 89, 100, 103, 109, 120, 123, 129, 131-132, 134, 142-143, 169, 171, 173, 175-176, 178-179, 182, 199, 201, 203-204, 220, 225, 231-232, 237-238, 241-242, 245, 254, 259</w:t>
      </w:r>
    </w:p>
    <w:p>
      <w:pPr>
        <w:pStyle w:val="aff4"/>
        <w:spacing w:after="20" w:line="240" w:lineRule="auto"/>
        <w:ind w:left="140" w:hanging="140"/>
      </w:pPr>
      <w:r>
        <w:rPr>
          <w:rFonts w:ascii="Noto Sans CJK KR" w:hAnsi="Noto Sans CJK KR" w:eastAsia="Noto Sans CJK KR" w:cs="Noto Sans CJK KR"/>
          <w:sz w:val="16"/>
        </w:rPr>
        <w:t>예금보호한도  8, 174, 233</w:t>
      </w:r>
    </w:p>
    <w:p>
      <w:pPr>
        <w:pStyle w:val="aff4"/>
        <w:spacing w:after="20" w:line="240" w:lineRule="auto"/>
        <w:ind w:left="140" w:hanging="140"/>
      </w:pPr>
      <w:r>
        <w:rPr>
          <w:rFonts w:ascii="Noto Sans CJK KR" w:hAnsi="Noto Sans CJK KR" w:eastAsia="Noto Sans CJK KR" w:cs="Noto Sans CJK KR"/>
          <w:sz w:val="16"/>
        </w:rPr>
        <w:t>오픈뱅킹  9, 183, 186-187, 233, 264, 272</w:t>
      </w:r>
    </w:p>
    <w:p>
      <w:pPr>
        <w:pStyle w:val="aff4"/>
        <w:spacing w:after="20" w:line="240" w:lineRule="auto"/>
        <w:ind w:left="140" w:hanging="140"/>
      </w:pPr>
      <w:r>
        <w:rPr>
          <w:rFonts w:ascii="Noto Sans CJK KR" w:hAnsi="Noto Sans CJK KR" w:eastAsia="Noto Sans CJK KR" w:cs="Noto Sans CJK KR"/>
          <w:sz w:val="16"/>
        </w:rPr>
        <w:t>외환건전성부담금</w:t>
      </w:r>
    </w:p>
    <w:p>
      <w:pPr>
        <w:pStyle w:val="aff4"/>
        <w:spacing w:after="20" w:line="240" w:lineRule="auto"/>
        <w:ind w:left="140" w:hanging="140"/>
      </w:pPr>
      <w:r>
        <w:rPr>
          <w:rFonts w:ascii="Noto Sans CJK KR" w:hAnsi="Noto Sans CJK KR" w:eastAsia="Noto Sans CJK KR" w:cs="Noto Sans CJK KR"/>
          <w:sz w:val="16"/>
        </w:rPr>
        <w:t>위험가중자산  9, 107-109, 137, 141, 220, 226, 250, 261</w:t>
      </w:r>
    </w:p>
    <w:p>
      <w:pPr>
        <w:pStyle w:val="aff4"/>
        <w:spacing w:after="20" w:line="240" w:lineRule="auto"/>
        <w:ind w:left="140" w:hanging="140"/>
      </w:pPr>
      <w:r>
        <w:rPr>
          <w:rFonts w:ascii="Noto Sans CJK KR" w:hAnsi="Noto Sans CJK KR" w:eastAsia="Noto Sans CJK KR" w:cs="Noto Sans CJK KR"/>
          <w:sz w:val="16"/>
        </w:rPr>
        <w:t>유동성커버리지비율  139, 227, 252</w:t>
      </w:r>
    </w:p>
    <w:p>
      <w:pPr>
        <w:pStyle w:val="aff4"/>
        <w:spacing w:after="20" w:line="240" w:lineRule="auto"/>
        <w:ind w:left="140" w:hanging="140"/>
      </w:pPr>
      <w:r>
        <w:rPr>
          <w:rFonts w:ascii="Noto Sans CJK KR" w:hAnsi="Noto Sans CJK KR" w:eastAsia="Noto Sans CJK KR" w:cs="Noto Sans CJK KR"/>
          <w:sz w:val="16"/>
        </w:rPr>
        <w:t>유로달러  96-97</w:t>
      </w:r>
    </w:p>
    <w:p>
      <w:pPr>
        <w:pStyle w:val="aff4"/>
        <w:spacing w:after="20" w:line="240" w:lineRule="auto"/>
        <w:ind w:left="140" w:hanging="140"/>
      </w:pPr>
      <w:r>
        <w:rPr>
          <w:rFonts w:ascii="Noto Sans CJK KR" w:hAnsi="Noto Sans CJK KR" w:eastAsia="Noto Sans CJK KR" w:cs="Noto Sans CJK KR"/>
          <w:sz w:val="16"/>
        </w:rPr>
        <w:t>유한책임  8, 46-47, 50-55, 57, 179, 220, 224, 235, 259</w:t>
      </w:r>
    </w:p>
    <w:p>
      <w:pPr>
        <w:pStyle w:val="aff4"/>
        <w:spacing w:after="20" w:line="240" w:lineRule="auto"/>
        <w:ind w:left="140" w:hanging="140"/>
      </w:pPr>
      <w:r>
        <w:rPr>
          <w:rFonts w:ascii="Noto Sans CJK KR" w:hAnsi="Noto Sans CJK KR" w:eastAsia="Noto Sans CJK KR" w:cs="Noto Sans CJK KR"/>
          <w:sz w:val="16"/>
        </w:rPr>
        <w:t>은행법  7, 10, 62-63, 66, 152-153, 155-157, 160, 172, 185, 189, 224-225, 230-231, 246, 259-260, 263-264, 266, 268</w:t>
      </w:r>
    </w:p>
    <w:p>
      <w:pPr>
        <w:pStyle w:val="aff4"/>
        <w:spacing w:after="20" w:line="240" w:lineRule="auto"/>
        <w:ind w:left="140" w:hanging="140"/>
      </w:pPr>
      <w:r>
        <w:rPr>
          <w:rFonts w:ascii="Noto Sans CJK KR" w:hAnsi="Noto Sans CJK KR" w:eastAsia="Noto Sans CJK KR" w:cs="Noto Sans CJK KR"/>
          <w:sz w:val="16"/>
        </w:rPr>
        <w:t>이자제한법  22, 161, 181, 230, 232, 263</w:t>
      </w:r>
    </w:p>
    <w:p>
      <w:pPr>
        <w:pStyle w:val="aff4"/>
        <w:spacing w:after="20" w:line="240" w:lineRule="auto"/>
        <w:ind w:left="140" w:hanging="140"/>
      </w:pPr>
      <w:r>
        <w:rPr>
          <w:rFonts w:ascii="Noto Sans CJK KR" w:hAnsi="Noto Sans CJK KR" w:eastAsia="Noto Sans CJK KR" w:cs="Noto Sans CJK KR"/>
          <w:sz w:val="16"/>
        </w:rPr>
        <w:t>인터넷전문은행  7, 183, 185, 232, 264, 272</w:t>
      </w:r>
    </w:p>
    <w:p>
      <w:pPr>
        <w:pStyle w:val="aff4"/>
        <w:spacing w:after="20" w:line="240" w:lineRule="auto"/>
        <w:ind w:left="140" w:hanging="140"/>
      </w:pPr>
      <w:r>
        <w:rPr>
          <w:rFonts w:ascii="Noto Sans CJK KR" w:hAnsi="Noto Sans CJK KR" w:eastAsia="Noto Sans CJK KR" w:cs="Noto Sans CJK KR"/>
          <w:sz w:val="16"/>
        </w:rPr>
        <w:t>자금세탁방지  193, 202, 204, 233, 245, 254-255, 267</w:t>
      </w:r>
    </w:p>
    <w:p>
      <w:pPr>
        <w:pStyle w:val="aff4"/>
        <w:spacing w:after="20" w:line="240" w:lineRule="auto"/>
        <w:ind w:left="140" w:hanging="140"/>
      </w:pPr>
      <w:r>
        <w:rPr>
          <w:rFonts w:ascii="Noto Sans CJK KR" w:hAnsi="Noto Sans CJK KR" w:eastAsia="Noto Sans CJK KR" w:cs="Noto Sans CJK KR"/>
          <w:sz w:val="16"/>
        </w:rPr>
        <w:t>자기자본  8, 74, 101, 107, 116, 119, 126, 138, 180, 250</w:t>
      </w:r>
    </w:p>
    <w:p>
      <w:pPr>
        <w:pStyle w:val="aff4"/>
        <w:spacing w:after="20" w:line="240" w:lineRule="auto"/>
        <w:ind w:left="140" w:hanging="140"/>
      </w:pPr>
      <w:r>
        <w:rPr>
          <w:rFonts w:ascii="Noto Sans CJK KR" w:hAnsi="Noto Sans CJK KR" w:eastAsia="Noto Sans CJK KR" w:cs="Noto Sans CJK KR"/>
          <w:sz w:val="16"/>
        </w:rPr>
        <w:t>자본시장법  189, 246, 265</w:t>
      </w:r>
    </w:p>
    <w:p>
      <w:pPr>
        <w:pStyle w:val="aff4"/>
        <w:spacing w:after="20" w:line="240" w:lineRule="auto"/>
        <w:ind w:left="140" w:hanging="140"/>
      </w:pPr>
      <w:r>
        <w:rPr>
          <w:rFonts w:ascii="Noto Sans CJK KR" w:hAnsi="Noto Sans CJK KR" w:eastAsia="Noto Sans CJK KR" w:cs="Noto Sans CJK KR"/>
          <w:sz w:val="16"/>
        </w:rPr>
        <w:t>자본통제  86-87, 91, 94, 98, 260, 272</w:t>
      </w:r>
    </w:p>
    <w:p>
      <w:pPr>
        <w:pStyle w:val="aff4"/>
        <w:spacing w:after="20" w:line="240" w:lineRule="auto"/>
        <w:ind w:left="140" w:hanging="140"/>
      </w:pPr>
      <w:r>
        <w:rPr>
          <w:rFonts w:ascii="Noto Sans CJK KR" w:hAnsi="Noto Sans CJK KR" w:eastAsia="Noto Sans CJK KR" w:cs="Noto Sans CJK KR"/>
          <w:sz w:val="16"/>
        </w:rPr>
        <w:t>장외파생상품  121, 134, 227, 240, 261</w:t>
      </w:r>
    </w:p>
    <w:p>
      <w:pPr>
        <w:pStyle w:val="aff4"/>
        <w:spacing w:after="20" w:line="240" w:lineRule="auto"/>
        <w:ind w:left="140" w:hanging="140"/>
      </w:pPr>
      <w:r>
        <w:rPr>
          <w:rFonts w:ascii="Noto Sans CJK KR" w:hAnsi="Noto Sans CJK KR" w:eastAsia="Noto Sans CJK KR" w:cs="Noto Sans CJK KR"/>
          <w:sz w:val="16"/>
        </w:rPr>
        <w:t>정리계획  128, 134-136, 140, 142, 175, 220-221, 251, 253</w:t>
      </w:r>
    </w:p>
    <w:p>
      <w:pPr>
        <w:pStyle w:val="aff4"/>
        <w:spacing w:after="20" w:line="240" w:lineRule="auto"/>
        <w:ind w:left="140" w:hanging="140"/>
      </w:pPr>
      <w:r>
        <w:rPr>
          <w:rFonts w:ascii="Noto Sans CJK KR" w:hAnsi="Noto Sans CJK KR" w:eastAsia="Noto Sans CJK KR" w:cs="Noto Sans CJK KR"/>
          <w:sz w:val="16"/>
        </w:rPr>
        <w:t>정리제도  8-9, 23, 59, 85, 130, 134, 143, 173, 259</w:t>
      </w:r>
    </w:p>
    <w:p>
      <w:pPr>
        <w:pStyle w:val="aff4"/>
        <w:spacing w:after="20" w:line="240" w:lineRule="auto"/>
        <w:ind w:left="140" w:hanging="140"/>
      </w:pPr>
      <w:r>
        <w:rPr>
          <w:rFonts w:ascii="Noto Sans CJK KR" w:hAnsi="Noto Sans CJK KR" w:eastAsia="Noto Sans CJK KR" w:cs="Noto Sans CJK KR"/>
          <w:sz w:val="16"/>
        </w:rPr>
        <w:t>정책금융  91, 94-95, 154, 158-159, 161, 163, 230, 234, 263, 272</w:t>
      </w:r>
    </w:p>
    <w:p>
      <w:pPr>
        <w:pStyle w:val="aff4"/>
        <w:spacing w:after="20" w:line="240" w:lineRule="auto"/>
        <w:ind w:left="140" w:hanging="140"/>
      </w:pPr>
      <w:r>
        <w:rPr>
          <w:rFonts w:ascii="Noto Sans CJK KR" w:hAnsi="Noto Sans CJK KR" w:eastAsia="Noto Sans CJK KR" w:cs="Noto Sans CJK KR"/>
          <w:sz w:val="16"/>
        </w:rPr>
        <w:t>중앙은행  6-10, 29, 31, 35-39, 41, 48, 55, 57-62, 66-68, 71-73, 76, 78-79, 85, 94, 96-98, 103, 105, 112-117, 120, 123, 128-129, 131-133, 139, 152, 154-160, 163, 168-169, 171-173, 194, 199, 201-204, 220-221, 224-226, 228, 230-231, 235-238, 240-242, 246, 252, 256, 259-260, 263-266, 271</w:t>
      </w:r>
    </w:p>
    <w:p>
      <w:pPr>
        <w:pStyle w:val="aff4"/>
        <w:spacing w:after="20" w:line="240" w:lineRule="auto"/>
        <w:ind w:left="140" w:hanging="140"/>
      </w:pPr>
      <w:r>
        <w:rPr>
          <w:rFonts w:ascii="Noto Sans CJK KR" w:hAnsi="Noto Sans CJK KR" w:eastAsia="Noto Sans CJK KR" w:cs="Noto Sans CJK KR"/>
          <w:sz w:val="16"/>
        </w:rPr>
        <w:t>증권공시  6, 9, 75, 79, 237, 265</w:t>
      </w:r>
    </w:p>
    <w:p>
      <w:pPr>
        <w:pStyle w:val="aff4"/>
        <w:spacing w:after="20" w:line="240" w:lineRule="auto"/>
        <w:ind w:left="140" w:hanging="140"/>
      </w:pPr>
      <w:r>
        <w:rPr>
          <w:rFonts w:ascii="Noto Sans CJK KR" w:hAnsi="Noto Sans CJK KR" w:eastAsia="Noto Sans CJK KR" w:cs="Noto Sans CJK KR"/>
          <w:sz w:val="16"/>
        </w:rPr>
        <w:t>지급결제  6, 8-9, 27, 39, 47, 82, 103, 116, 140, 155, 175, 220-221, 223, 225, 236, 247-248, 259, 267</w:t>
      </w:r>
    </w:p>
    <w:p>
      <w:pPr>
        <w:pStyle w:val="aff4"/>
        <w:spacing w:after="20" w:line="240" w:lineRule="auto"/>
        <w:ind w:left="140" w:hanging="140"/>
      </w:pPr>
      <w:r>
        <w:rPr>
          <w:rFonts w:ascii="Noto Sans CJK KR" w:hAnsi="Noto Sans CJK KR" w:eastAsia="Noto Sans CJK KR" w:cs="Noto Sans CJK KR"/>
          <w:sz w:val="16"/>
        </w:rPr>
        <w:t>최종대부자  40, 56-61, 66, 72, 83, 117, 139, 172, 194, 225, 236, 245, 252, 265, 271-272</w:t>
      </w:r>
    </w:p>
    <w:p>
      <w:pPr>
        <w:pStyle w:val="aff4"/>
        <w:spacing w:after="20" w:line="240" w:lineRule="auto"/>
        <w:ind w:left="140" w:hanging="140"/>
      </w:pPr>
      <w:r>
        <w:rPr>
          <w:rFonts w:ascii="Noto Sans CJK KR" w:hAnsi="Noto Sans CJK KR" w:eastAsia="Noto Sans CJK KR" w:cs="Noto Sans CJK KR"/>
          <w:sz w:val="16"/>
        </w:rPr>
        <w:t>충당금  251</w:t>
      </w:r>
    </w:p>
    <w:p>
      <w:pPr>
        <w:pStyle w:val="aff4"/>
        <w:spacing w:after="20" w:line="240" w:lineRule="auto"/>
        <w:ind w:left="140" w:hanging="140"/>
      </w:pPr>
      <w:r>
        <w:rPr>
          <w:rFonts w:ascii="Noto Sans CJK KR" w:hAnsi="Noto Sans CJK KR" w:eastAsia="Noto Sans CJK KR" w:cs="Noto Sans CJK KR"/>
          <w:sz w:val="16"/>
        </w:rPr>
        <w:t>클라우드  9, 188, 190, 204, 206-210, 212, 218, 221, 233, 248, 256, 258, 272</w:t>
      </w:r>
    </w:p>
    <w:p>
      <w:pPr>
        <w:pStyle w:val="aff4"/>
        <w:spacing w:after="20" w:line="240" w:lineRule="auto"/>
        <w:ind w:left="140" w:hanging="140"/>
      </w:pPr>
      <w:r>
        <w:rPr>
          <w:rFonts w:ascii="Noto Sans CJK KR" w:hAnsi="Noto Sans CJK KR" w:eastAsia="Noto Sans CJK KR" w:cs="Noto Sans CJK KR"/>
          <w:sz w:val="16"/>
        </w:rPr>
        <w:t>토큰화예금  199, 203-204, 256</w:t>
      </w:r>
    </w:p>
    <w:p>
      <w:pPr>
        <w:pStyle w:val="aff4"/>
        <w:spacing w:after="20" w:line="240" w:lineRule="auto"/>
        <w:ind w:left="140" w:hanging="140"/>
      </w:pPr>
      <w:r>
        <w:rPr>
          <w:rFonts w:ascii="Noto Sans CJK KR" w:hAnsi="Noto Sans CJK KR" w:eastAsia="Noto Sans CJK KR" w:cs="Noto Sans CJK KR"/>
          <w:sz w:val="16"/>
        </w:rPr>
        <w:t>파생상품  8-9, 20, 117, 121, 123, 127, 134, 136, 170, 227, 239-241, 246, 252, 261-262, 267</w:t>
      </w:r>
    </w:p>
    <w:p>
      <w:pPr>
        <w:pStyle w:val="aff4"/>
        <w:spacing w:after="20" w:line="240" w:lineRule="auto"/>
        <w:ind w:left="140" w:hanging="140"/>
      </w:pPr>
      <w:r>
        <w:rPr>
          <w:rFonts w:ascii="Noto Sans CJK KR" w:hAnsi="Noto Sans CJK KR" w:eastAsia="Noto Sans CJK KR" w:cs="Noto Sans CJK KR"/>
          <w:sz w:val="16"/>
        </w:rPr>
        <w:t>페이퍼컴퍼니</w:t>
      </w:r>
    </w:p>
    <w:p>
      <w:pPr>
        <w:pStyle w:val="aff4"/>
        <w:spacing w:after="20" w:line="240" w:lineRule="auto"/>
        <w:ind w:left="140" w:hanging="140"/>
      </w:pPr>
      <w:r>
        <w:rPr>
          <w:rFonts w:ascii="Noto Sans CJK KR" w:hAnsi="Noto Sans CJK KR" w:eastAsia="Noto Sans CJK KR" w:cs="Noto Sans CJK KR"/>
          <w:sz w:val="16"/>
        </w:rPr>
        <w:t>한국은행  7, 152-153, 156-157, 160, 167-168, 172, 175, 185, 199, 202-203, 229-231, 234, 243-248, 263-265, 268, 271</w:t>
      </w:r>
    </w:p>
    <w:p>
      <w:pPr>
        <w:pStyle w:val="aff4"/>
        <w:spacing w:after="20" w:line="240" w:lineRule="auto"/>
        <w:ind w:left="140" w:hanging="140"/>
      </w:pPr>
      <w:r>
        <w:rPr>
          <w:rFonts w:ascii="Noto Sans CJK KR" w:hAnsi="Noto Sans CJK KR" w:eastAsia="Noto Sans CJK KR" w:cs="Noto Sans CJK KR"/>
          <w:sz w:val="16"/>
        </w:rPr>
        <w:t>한국은행법  7, 152, 156, 160, 172, 185, 230-231, 263-264, 268</w:t>
      </w:r>
    </w:p>
    <w:p>
      <w:pPr>
        <w:pStyle w:val="aff4"/>
        <w:spacing w:after="20" w:line="240" w:lineRule="auto"/>
        <w:ind w:left="140" w:hanging="140"/>
      </w:pPr>
      <w:r>
        <w:rPr>
          <w:rFonts w:ascii="Noto Sans CJK KR" w:hAnsi="Noto Sans CJK KR" w:eastAsia="Noto Sans CJK KR" w:cs="Noto Sans CJK KR"/>
          <w:sz w:val="16"/>
        </w:rPr>
        <w:t>화폐정리사업  153, 229, 263</w:t>
      </w:r>
    </w:p>
    <w:p>
      <w:pPr>
        <w:pStyle w:val="aff4"/>
        <w:spacing w:after="20" w:line="240" w:lineRule="auto"/>
        <w:ind w:left="140" w:hanging="140"/>
      </w:pPr>
      <w:r>
        <w:rPr>
          <w:rFonts w:ascii="Noto Sans CJK KR" w:hAnsi="Noto Sans CJK KR" w:eastAsia="Noto Sans CJK KR" w:cs="Noto Sans CJK KR"/>
          <w:sz w:val="16"/>
        </w:rPr>
        <w:t>환곡  7, 9, 146, 148-150, 268, 272</w:t>
      </w:r>
    </w:p>
    <w:p>
      <w:pPr>
        <w:pStyle w:val="aff4"/>
        <w:spacing w:after="20" w:line="240" w:lineRule="auto"/>
        <w:ind w:left="140" w:hanging="140"/>
      </w:pPr>
      <w:r>
        <w:rPr>
          <w:rFonts w:ascii="Noto Sans CJK KR" w:hAnsi="Noto Sans CJK KR" w:eastAsia="Noto Sans CJK KR" w:cs="Noto Sans CJK KR"/>
          <w:sz w:val="16"/>
        </w:rPr>
        <w:t>환어음  6, 9, 20, 30-31, 33-35, 39, 220, 225, 259, 272</w:t>
      </w:r>
    </w:p>
    <w:sectPr w:rsidR="00C92604" w:rsidRPr="00B469F7" w:rsidSect="00254B81">
      <w:footerReference w:type="default" r:id="rId38"/>
      <w:pgSz w:w="8959" w:h="13098"/>
      <w:pgMar w:top="1134" w:right="1134" w:bottom="1134" w:left="1474" w:header="8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7BCFE" w14:textId="77777777" w:rsidR="007F53F4" w:rsidRDefault="007F53F4">
      <w:pPr>
        <w:spacing w:line="240" w:lineRule="auto"/>
      </w:pPr>
      <w:r>
        <w:separator/>
      </w:r>
    </w:p>
  </w:endnote>
  <w:endnote w:type="continuationSeparator" w:id="0">
    <w:p w14:paraId="625BF0B9" w14:textId="77777777" w:rsidR="007F53F4" w:rsidRDefault="007F53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KoPub바탕체 Light">
    <w:altName w:val="맑은 고딕"/>
    <w:panose1 w:val="020B0604020202020204"/>
    <w:charset w:val="81"/>
    <w:family w:val="auto"/>
    <w:pitch w:val="variable"/>
    <w:sig w:usb0="800002A7" w:usb1="29D7FCFB" w:usb2="00000010" w:usb3="00000000" w:csb0="00080001"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KoPub바탕체 Bold">
    <w:altName w:val="바탕"/>
    <w:panose1 w:val="020B0604020202020204"/>
    <w:charset w:val="81"/>
    <w:family w:val="roman"/>
    <w:pitch w:val="default"/>
  </w:font>
  <w:font w:name="맑은 고딕">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FF953" w14:textId="0F4EC3BF" w:rsidR="00254B81" w:rsidRDefault="00000000" w:rsidP="00254B81">
    <w:pPr>
      <w:pStyle w:val="a6"/>
      <w:jc w:val="center"/>
      <w:rPr>
        <w:sz w:val="22"/>
        <w:lang w:eastAsia="ko-KR"/>
      </w:rPr>
    </w:pPr>
    <w:r w:rsidRPr="00254B81">
      <w:rPr>
        <w:sz w:val="17"/>
      </w:rPr>
      <w:fldChar w:fldCharType="begin"/>
    </w:r>
    <w:r w:rsidRPr="00254B81">
      <w:rPr>
        <w:sz w:val="17"/>
      </w:rPr>
      <w:instrText>PAGE</w:instrText>
    </w:r>
    <w:r w:rsidRPr="00254B81">
      <w:rPr>
        <w:sz w:val="17"/>
      </w:rPr>
      <w:fldChar w:fldCharType="separate"/>
    </w:r>
    <w:r w:rsidRPr="00254B81">
      <w:rPr>
        <w:sz w:val="17"/>
      </w:rPr>
      <w:t>1</w:t>
    </w:r>
    <w:r w:rsidRPr="00254B81">
      <w:rPr>
        <w:sz w:val="17"/>
      </w:rPr>
      <w:fldChar w:fldCharType="end"/>
    </w:r>
  </w:p>
  <w:p w14:paraId="45A058A2" w14:textId="77777777" w:rsidR="00254B81" w:rsidRPr="00254B81" w:rsidRDefault="00254B81" w:rsidP="00254B81">
    <w:pPr>
      <w:pStyle w:val="a6"/>
      <w:spacing w:line="360" w:lineRule="auto"/>
      <w:jc w:val="center"/>
      <w:rPr>
        <w:rFonts w:hint="eastAsia"/>
        <w:sz w:val="18"/>
        <w:szCs w:val="18"/>
        <w:lang w:eastAsia="ko-K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8BE0C9" w14:textId="77777777" w:rsidR="007F53F4" w:rsidRDefault="007F53F4">
      <w:pPr>
        <w:spacing w:line="240" w:lineRule="auto"/>
      </w:pPr>
      <w:r>
        <w:separator/>
      </w:r>
    </w:p>
  </w:footnote>
  <w:footnote w:type="continuationSeparator" w:id="0">
    <w:p w14:paraId="1F141BE8" w14:textId="77777777" w:rsidR="007F53F4" w:rsidRDefault="007F53F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78552232">
    <w:abstractNumId w:val="8"/>
  </w:num>
  <w:num w:numId="2" w16cid:durableId="837423386">
    <w:abstractNumId w:val="6"/>
  </w:num>
  <w:num w:numId="3" w16cid:durableId="1994286522">
    <w:abstractNumId w:val="5"/>
  </w:num>
  <w:num w:numId="4" w16cid:durableId="1890267356">
    <w:abstractNumId w:val="4"/>
  </w:num>
  <w:num w:numId="5" w16cid:durableId="762802835">
    <w:abstractNumId w:val="7"/>
  </w:num>
  <w:num w:numId="6" w16cid:durableId="174997058">
    <w:abstractNumId w:val="3"/>
  </w:num>
  <w:num w:numId="7" w16cid:durableId="789781499">
    <w:abstractNumId w:val="2"/>
  </w:num>
  <w:num w:numId="8" w16cid:durableId="756750277">
    <w:abstractNumId w:val="1"/>
  </w:num>
  <w:num w:numId="9" w16cid:durableId="2066907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mirrorMargins/>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4B81"/>
    <w:rsid w:val="0029639D"/>
    <w:rsid w:val="002C442F"/>
    <w:rsid w:val="002F1BDD"/>
    <w:rsid w:val="00326F90"/>
    <w:rsid w:val="007F53F4"/>
    <w:rsid w:val="00831FC6"/>
    <w:rsid w:val="00841B5E"/>
    <w:rsid w:val="00AA1D8D"/>
    <w:rsid w:val="00B469F7"/>
    <w:rsid w:val="00B47730"/>
    <w:rsid w:val="00C92604"/>
    <w:rsid w:val="00CB0664"/>
    <w:rsid w:val="00CC26F9"/>
    <w:rsid w:val="00EB3355"/>
    <w:rsid w:val="00F824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73572"/>
  <w14:defaultImageDpi w14:val="300"/>
  <w15:docId w15:val="{942CBF02-F6C7-6448-97B0-ACEA1972B88F}"/>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300" w:lineRule="auto"/>
      <w:ind w:firstLine="100"/>
      <w:jc w:val="both"/>
    </w:pPr>
    <w:rPr>
      <w:rFonts w:ascii="KoPubWorld바탕체_Pro Light" w:eastAsia="KoPubWorld바탕체_Pro Light" w:hAnsi="KoPubWorld바탕체_Pro Light"/>
      <w:sz w:val="20"/>
    </w:rPr>
  </w:style>
  <w:style w:type="paragraph" w:styleId="1">
    <w:name w:val="heading 1"/>
    <w:basedOn w:val="a1"/>
    <w:next w:val="a1"/>
    <w:link w:val="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line="240" w:lineRule="auto"/>
    </w:pPr>
  </w:style>
  <w:style w:type="character" w:customStyle="1" w:styleId="Char">
    <w:name w:val="머리글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line="240" w:lineRule="auto"/>
    </w:pPr>
    <w:rPr>
      <w:sz w:val="17"/>
    </w:rPr>
  </w:style>
  <w:style w:type="character" w:customStyle="1" w:styleId="Char0">
    <w:name w:val="바닥글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제목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제목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제목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제목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ind w:firstLine="100"/>
    </w:pPr>
    <w:rPr>
      <w:rFonts w:asciiTheme="majorHAnsi" w:eastAsiaTheme="majorEastAsia" w:hAnsiTheme="majorHAnsi" w:cstheme="majorBidi"/>
      <w:i/>
      <w:iCs/>
      <w:color w:val="4F81BD" w:themeColor="accent1"/>
      <w:spacing w:val="15"/>
      <w:sz w:val="24"/>
      <w:szCs w:val="24"/>
    </w:rPr>
  </w:style>
  <w:style w:type="character" w:customStyle="1" w:styleId="Char2">
    <w:name w:val="부제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pPr>
      <w:spacing w:after="120"/>
    </w:pPr>
  </w:style>
  <w:style w:type="character" w:customStyle="1" w:styleId="Char3">
    <w:name w:val="본문 Char"/>
    <w:basedOn w:val="a2"/>
    <w:link w:val="ab"/>
    <w:uiPriority w:val="99"/>
    <w:rsid w:val="00AA1D8D"/>
  </w:style>
  <w:style w:type="paragraph" w:styleId="22">
    <w:name w:val="Body Text 2"/>
    <w:basedOn w:val="a1"/>
    <w:link w:val="2Char0"/>
    <w:uiPriority w:val="99"/>
    <w:unhideWhenUsed/>
    <w:rsid w:val="00AA1D8D"/>
    <w:pPr>
      <w:spacing w:after="120" w:line="480" w:lineRule="auto"/>
    </w:pPr>
  </w:style>
  <w:style w:type="character" w:customStyle="1" w:styleId="2Char0">
    <w:name w:val="본문 2 Char"/>
    <w:basedOn w:val="a2"/>
    <w:link w:val="22"/>
    <w:uiPriority w:val="99"/>
    <w:rsid w:val="00AA1D8D"/>
  </w:style>
  <w:style w:type="paragraph" w:styleId="32">
    <w:name w:val="Body Text 3"/>
    <w:basedOn w:val="a1"/>
    <w:link w:val="3Char0"/>
    <w:uiPriority w:val="99"/>
    <w:unhideWhenUsed/>
    <w:rsid w:val="00AA1D8D"/>
    <w:pPr>
      <w:spacing w:after="120"/>
    </w:pPr>
    <w:rPr>
      <w:sz w:val="16"/>
      <w:szCs w:val="16"/>
    </w:rPr>
  </w:style>
  <w:style w:type="character" w:customStyle="1" w:styleId="3Char0">
    <w:name w:val="본문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d">
    <w:name w:val="List Continue"/>
    <w:basedOn w:val="a1"/>
    <w:uiPriority w:val="99"/>
    <w:unhideWhenUsed/>
    <w:rsid w:val="0029639D"/>
    <w:pPr>
      <w:spacing w:after="120"/>
      <w:ind w:left="360"/>
      <w:contextualSpacing/>
    </w:pPr>
  </w:style>
  <w:style w:type="paragraph" w:styleId="24">
    <w:name w:val="List Continue 2"/>
    <w:basedOn w:val="a1"/>
    <w:uiPriority w:val="99"/>
    <w:unhideWhenUsed/>
    <w:rsid w:val="0029639D"/>
    <w:pPr>
      <w:spacing w:after="120"/>
      <w:ind w:left="720"/>
      <w:contextualSpacing/>
    </w:pPr>
  </w:style>
  <w:style w:type="paragraph" w:styleId="34">
    <w:name w:val="List Continue 3"/>
    <w:basedOn w:val="a1"/>
    <w:uiPriority w:val="99"/>
    <w:unhideWhenUsed/>
    <w:rsid w:val="0029639D"/>
    <w:pPr>
      <w:spacing w:after="120"/>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매크로 텍스트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인용 Char"/>
    <w:basedOn w:val="a2"/>
    <w:link w:val="af"/>
    <w:uiPriority w:val="29"/>
    <w:rsid w:val="00FC693F"/>
    <w:rPr>
      <w:i/>
      <w:iCs/>
      <w:color w:val="000000" w:themeColor="text1"/>
    </w:rPr>
  </w:style>
  <w:style w:type="character" w:customStyle="1" w:styleId="4Char">
    <w:name w:val="제목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제목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제목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제목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제목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제목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강한 인용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9">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a">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c">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d">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e">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ff1">
    <w:name w:val="제목(수정)"/>
    <w:pPr>
      <w:spacing w:before="200" w:after="240"/>
      <w:jc w:val="center"/>
    </w:pPr>
    <w:rPr>
      <w:rFonts w:ascii="KoPubWorld바탕체_Pro Bold" w:eastAsia="KoPubWorld바탕체_Pro Bold" w:hAnsi="KoPubWorld바탕체_Pro Bold"/>
      <w:b/>
      <w:sz w:val="28"/>
    </w:rPr>
  </w:style>
  <w:style w:type="paragraph" w:customStyle="1" w:styleId="aff2">
    <w:name w:val="소제목(수정)"/>
    <w:pPr>
      <w:spacing w:before="160" w:after="160"/>
      <w:jc w:val="center"/>
    </w:pPr>
    <w:rPr>
      <w:rFonts w:ascii="KoPubWorld바탕체_Pro Bold" w:eastAsia="KoPubWorld바탕체_Pro Bold" w:hAnsi="KoPubWorld바탕체_Pro Bold"/>
      <w:b/>
      <w:sz w:val="24"/>
    </w:rPr>
  </w:style>
  <w:style w:type="paragraph" w:customStyle="1" w:styleId="aff3">
    <w:name w:val="본문(수정)"/>
    <w:pPr>
      <w:spacing w:after="0" w:line="336" w:lineRule="auto"/>
      <w:ind w:firstLine="100"/>
      <w:jc w:val="both"/>
    </w:pPr>
    <w:rPr>
      <w:rFonts w:ascii="KoPubWorld바탕체_Pro Light" w:eastAsia="KoPubWorld바탕체_Pro Light" w:hAnsi="KoPubWorld바탕체_Pro Light"/>
      <w:sz w:val="20"/>
    </w:rPr>
  </w:style>
  <w:style w:type="paragraph" w:customStyle="1" w:styleId="aff4">
    <w:name w:val="본문 고딕"/>
    <w:link w:val="Char7"/>
    <w:qFormat/>
    <w:pPr>
      <w:spacing w:after="0" w:line="312" w:lineRule="auto"/>
    </w:pPr>
    <w:rPr>
      <w:rFonts w:ascii="맑은 고딕" w:eastAsia="맑은 고딕" w:hAnsi="맑은 고딕"/>
      <w:sz w:val="20"/>
    </w:rPr>
  </w:style>
  <w:style w:type="paragraph" w:customStyle="1" w:styleId="aff5">
    <w:name w:val="본문 인용문"/>
    <w:pPr>
      <w:spacing w:before="80" w:after="80" w:line="324" w:lineRule="auto"/>
      <w:ind w:left="100" w:right="100"/>
      <w:jc w:val="both"/>
    </w:pPr>
    <w:rPr>
      <w:rFonts w:ascii="KoPubWorld바탕체_Pro Light" w:eastAsia="KoPubWorld바탕체_Pro Light" w:hAnsi="KoPubWorld바탕체_Pro Light"/>
      <w:sz w:val="18"/>
    </w:rPr>
  </w:style>
  <w:style w:type="paragraph" w:customStyle="1" w:styleId="aff6">
    <w:name w:val="그림 캡션"/>
    <w:pPr>
      <w:spacing w:before="60" w:after="160"/>
      <w:jc w:val="center"/>
    </w:pPr>
    <w:rPr>
      <w:rFonts w:ascii="맑은 고딕" w:eastAsia="맑은 고딕" w:hAnsi="맑은 고딕"/>
      <w:sz w:val="17"/>
    </w:rPr>
  </w:style>
  <w:style w:type="paragraph" w:customStyle="1" w:styleId="aff7">
    <w:name w:val="판권면"/>
    <w:pPr>
      <w:spacing w:after="40"/>
    </w:pPr>
    <w:rPr>
      <w:rFonts w:ascii="맑은 고딕" w:eastAsia="맑은 고딕" w:hAnsi="맑은 고딕"/>
      <w:sz w:val="17"/>
    </w:rPr>
  </w:style>
  <w:style w:type="paragraph" w:customStyle="1" w:styleId="aff8">
    <w:name w:val="차례항목"/>
    <w:pPr>
      <w:spacing w:after="24" w:line="259" w:lineRule="auto"/>
    </w:pPr>
    <w:rPr>
      <w:rFonts w:ascii="맑은 고딕" w:eastAsia="맑은 고딕" w:hAnsi="맑은 고딕"/>
      <w:sz w:val="18"/>
    </w:rPr>
  </w:style>
  <w:style w:type="paragraph" w:customStyle="1" w:styleId="aff9">
    <w:name w:val="간지번호"/>
    <w:pPr>
      <w:spacing w:after="320"/>
      <w:jc w:val="center"/>
    </w:pPr>
    <w:rPr>
      <w:rFonts w:ascii="맑은 고딕" w:eastAsia="맑은 고딕" w:hAnsi="맑은 고딕"/>
      <w:b/>
    </w:rPr>
  </w:style>
  <w:style w:type="paragraph" w:customStyle="1" w:styleId="affa">
    <w:name w:val="간지제목"/>
    <w:pPr>
      <w:spacing w:after="240"/>
      <w:jc w:val="center"/>
    </w:pPr>
    <w:rPr>
      <w:rFonts w:ascii="KoPubWorld바탕체_Pro Bold" w:eastAsia="KoPubWorld바탕체_Pro Bold" w:hAnsi="KoPubWorld바탕체_Pro Bold"/>
      <w:b/>
      <w:sz w:val="36"/>
    </w:rPr>
  </w:style>
  <w:style w:type="paragraph" w:customStyle="1" w:styleId="affb">
    <w:name w:val="간지본문"/>
    <w:pPr>
      <w:spacing w:after="120" w:line="283" w:lineRule="auto"/>
      <w:jc w:val="center"/>
    </w:pPr>
    <w:rPr>
      <w:rFonts w:ascii="KoPubWorld바탕체_Pro Light" w:eastAsia="KoPubWorld바탕체_Pro Light" w:hAnsi="KoPubWorld바탕체_Pro Light"/>
      <w:sz w:val="19"/>
    </w:rPr>
  </w:style>
  <w:style w:type="character" w:customStyle="1" w:styleId="Char7">
    <w:name w:val="본문 고딕 Char"/>
    <w:basedOn w:val="a2"/>
    <w:link w:val="aff4"/>
    <w:rsid w:val="00254B81"/>
    <w:rPr>
      <w:rFonts w:ascii="맑은 고딕" w:eastAsia="맑은 고딕" w:hAnsi="맑은 고딕"/>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9" Type="http://schemas.openxmlformats.org/officeDocument/2006/relationships/fontTable" Target="fontTable.xml"/><Relationship Id="rId7" Type="http://schemas.openxmlformats.org/officeDocument/2006/relationships/endnotes" Target="endnotes.xml"/><Relationship Id="rId38"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40" Type="http://schemas.openxmlformats.org/officeDocument/2006/relationships/theme" Target="theme/theme1.xml"/><Relationship Id="rId5" Type="http://schemas.openxmlformats.org/officeDocument/2006/relationships/webSettings" Target="webSettings.xml"/><Relationship Id="rId4" Type="http://schemas.openxmlformats.org/officeDocument/2006/relationships/settings" Target="settings.xml"/><Relationship Id="rId3" Type="http://schemas.openxmlformats.org/officeDocument/2006/relationships/styles" Target="styles.xml"/><Relationship Id="rId41" Type="http://schemas.openxmlformats.org/officeDocument/2006/relationships/image" Target="media/image31.jpg"/><Relationship Id="rId42" Type="http://schemas.openxmlformats.org/officeDocument/2006/relationships/image" Target="media/image32.jpg"/><Relationship Id="rId43" Type="http://schemas.openxmlformats.org/officeDocument/2006/relationships/image" Target="media/image33.jpg"/><Relationship Id="rId44" Type="http://schemas.openxmlformats.org/officeDocument/2006/relationships/image" Target="media/image34.jpg"/><Relationship Id="rId45" Type="http://schemas.openxmlformats.org/officeDocument/2006/relationships/image" Target="media/image35.jpg"/><Relationship Id="rId46" Type="http://schemas.openxmlformats.org/officeDocument/2006/relationships/image" Target="media/image36.jpg"/><Relationship Id="rId47" Type="http://schemas.openxmlformats.org/officeDocument/2006/relationships/image" Target="media/image37.jpg"/><Relationship Id="rId48" Type="http://schemas.openxmlformats.org/officeDocument/2006/relationships/image" Target="media/image38.jpg"/><Relationship Id="rId49" Type="http://schemas.openxmlformats.org/officeDocument/2006/relationships/image" Target="media/image39.jpg"/><Relationship Id="rId50" Type="http://schemas.openxmlformats.org/officeDocument/2006/relationships/image" Target="media/image40.jpg"/><Relationship Id="rId51" Type="http://schemas.openxmlformats.org/officeDocument/2006/relationships/image" Target="media/image41.jpg"/><Relationship Id="rId52" Type="http://schemas.openxmlformats.org/officeDocument/2006/relationships/image" Target="media/image42.jpg"/><Relationship Id="rId53" Type="http://schemas.openxmlformats.org/officeDocument/2006/relationships/image" Target="media/image43.jpg"/><Relationship Id="rId54" Type="http://schemas.openxmlformats.org/officeDocument/2006/relationships/image" Target="media/image44.jpg"/><Relationship Id="rId55" Type="http://schemas.openxmlformats.org/officeDocument/2006/relationships/image" Target="media/image4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410</Pages>
  <Words>49057</Words>
  <Characters>279631</Characters>
  <Application>Microsoft Office Word</Application>
  <DocSecurity>0</DocSecurity>
  <Lines>2330</Lines>
  <Paragraphs>656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금융규제의 작은 역사</dc:title>
  <dc:subject>돈의 약속이 무너질 때, 국가는 무엇을 지켰는가</dc:subject>
  <dc:creator>김민성</dc:creator>
  <cp:keywords>금융규제, 금융사, 은행, 증권, 금융위기, 한국 금융</cp:keywords>
  <dc:description>generated by python-docx</dc:description>
  <cp:lastModifiedBy>김민성</cp:lastModifiedBy>
  <cp:revision>3</cp:revision>
  <dcterms:created xsi:type="dcterms:W3CDTF">2026-07-05T08:02:00Z</dcterms:created>
  <dcterms:modified xsi:type="dcterms:W3CDTF">2026-07-05T08:27:00Z</dcterms:modified>
  <cp:category/>
</cp:coreProperties>
</file>